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49B4A" w14:textId="312876DD" w:rsidR="00656DD6" w:rsidRPr="0052548E" w:rsidRDefault="00656DD6" w:rsidP="00B03BC5">
      <w:pPr>
        <w:tabs>
          <w:tab w:val="center" w:pos="4536"/>
          <w:tab w:val="right" w:pos="7938"/>
          <w:tab w:val="right" w:pos="9639"/>
        </w:tabs>
        <w:spacing w:after="120"/>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FE0EE5">
        <w:rPr>
          <w:rFonts w:ascii="Arial" w:hAnsi="Arial" w:cs="Arial"/>
          <w:b/>
          <w:bCs/>
          <w:color w:val="000000" w:themeColor="text1"/>
          <w:sz w:val="28"/>
        </w:rPr>
        <w:tab/>
        <w:t>R1-21</w:t>
      </w:r>
      <w:r w:rsidR="00FE0EE5" w:rsidRPr="00FE0EE5">
        <w:rPr>
          <w:rFonts w:ascii="Arial" w:hAnsi="Arial" w:cs="Arial"/>
          <w:b/>
          <w:bCs/>
          <w:color w:val="000000" w:themeColor="text1"/>
          <w:sz w:val="28"/>
        </w:rPr>
        <w:t>12249</w:t>
      </w:r>
    </w:p>
    <w:p w14:paraId="04861A43" w14:textId="77777777" w:rsidR="00656DD6" w:rsidRPr="009513AC" w:rsidRDefault="00656DD6" w:rsidP="00B03BC5">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B03BC5">
      <w:pPr>
        <w:tabs>
          <w:tab w:val="center" w:pos="4536"/>
          <w:tab w:val="right" w:pos="9072"/>
        </w:tabs>
        <w:spacing w:after="120"/>
        <w:rPr>
          <w:rFonts w:ascii="Arial" w:eastAsia="MS Mincho" w:hAnsi="Arial" w:cs="Arial"/>
          <w:b/>
          <w:bCs/>
          <w:sz w:val="28"/>
          <w:lang w:eastAsia="ja-JP"/>
        </w:rPr>
      </w:pPr>
    </w:p>
    <w:p w14:paraId="0DCC4F68" w14:textId="1B61534F" w:rsidR="008804DA" w:rsidRDefault="008804DA" w:rsidP="00B03BC5">
      <w:pPr>
        <w:tabs>
          <w:tab w:val="left" w:pos="1985"/>
        </w:tabs>
        <w:spacing w:after="120"/>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w:t>
      </w:r>
      <w:r w:rsidR="00221C7C">
        <w:rPr>
          <w:rFonts w:ascii="Arial" w:hAnsi="Arial"/>
          <w:sz w:val="24"/>
        </w:rPr>
        <w:t>1</w:t>
      </w:r>
      <w:r w:rsidR="00251111">
        <w:rPr>
          <w:rFonts w:ascii="Arial" w:hAnsi="Arial"/>
          <w:sz w:val="24"/>
        </w:rPr>
        <w:t>6</w:t>
      </w:r>
      <w:r w:rsidR="00221C7C">
        <w:rPr>
          <w:rFonts w:ascii="Arial" w:hAnsi="Arial"/>
          <w:sz w:val="24"/>
        </w:rPr>
        <w:t>.4</w:t>
      </w:r>
    </w:p>
    <w:p w14:paraId="629A49EF" w14:textId="77777777" w:rsidR="002647DF" w:rsidRPr="000A64D8" w:rsidRDefault="002647DF" w:rsidP="002647DF">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4134518" w14:textId="691950B5" w:rsidR="002647DF" w:rsidRPr="00D413A4" w:rsidRDefault="002647DF" w:rsidP="002647DF">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2C8C">
        <w:rPr>
          <w:rFonts w:ascii="Arial" w:hAnsi="Arial"/>
          <w:sz w:val="24"/>
          <w:szCs w:val="24"/>
        </w:rPr>
        <w:t>UE features for NR NTN</w:t>
      </w:r>
    </w:p>
    <w:p w14:paraId="024E7972" w14:textId="77777777" w:rsidR="002647DF" w:rsidRDefault="002647DF" w:rsidP="002647DF">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FC5CEC5" w14:textId="77777777" w:rsidR="002647DF" w:rsidRPr="000A64D8" w:rsidRDefault="002647DF" w:rsidP="00B03BC5">
      <w:pPr>
        <w:tabs>
          <w:tab w:val="left" w:pos="1985"/>
        </w:tabs>
        <w:spacing w:after="120"/>
        <w:rPr>
          <w:rFonts w:ascii="Arial" w:hAnsi="Arial"/>
          <w:sz w:val="24"/>
        </w:rPr>
      </w:pPr>
    </w:p>
    <w:p w14:paraId="26881B39" w14:textId="77777777" w:rsidR="00C34C05" w:rsidRPr="00183CB7" w:rsidRDefault="00FD6A3D" w:rsidP="00AE4AF6">
      <w:pPr>
        <w:pStyle w:val="Heading1"/>
        <w:spacing w:before="0" w:after="120"/>
        <w:jc w:val="both"/>
      </w:pPr>
      <w:r w:rsidRPr="00183CB7">
        <w:t>Introduction</w:t>
      </w:r>
      <w:bookmarkEnd w:id="0"/>
      <w:bookmarkEnd w:id="1"/>
    </w:p>
    <w:p w14:paraId="28392606" w14:textId="35367EA1" w:rsidR="005219CC" w:rsidRDefault="006D64FF" w:rsidP="00B03BC5">
      <w:pPr>
        <w:widowControl w:val="0"/>
        <w:spacing w:after="120"/>
        <w:jc w:val="both"/>
      </w:pPr>
      <w:r>
        <w:t xml:space="preserve">This </w:t>
      </w:r>
      <w:r w:rsidR="002111B1">
        <w:t xml:space="preserve">document </w:t>
      </w:r>
      <w:r w:rsidR="00082A33">
        <w:t>include</w:t>
      </w:r>
      <w:r w:rsidR="0021154D">
        <w:t>s</w:t>
      </w:r>
      <w:r w:rsidR="00E27988">
        <w:t xml:space="preserve"> </w:t>
      </w:r>
      <w:r w:rsidR="0021154D">
        <w:t xml:space="preserve">the discussion about how to indicate legacy UE features in NTN and </w:t>
      </w:r>
      <w:r w:rsidR="00670CB1">
        <w:t>comments on</w:t>
      </w:r>
      <w:r w:rsidR="00766E7F">
        <w:t xml:space="preserve"> the preliminary </w:t>
      </w:r>
      <w:r w:rsidR="00B238EC">
        <w:t xml:space="preserve">RAN1 </w:t>
      </w:r>
      <w:r w:rsidR="00766E7F">
        <w:t xml:space="preserve">UE features provided </w:t>
      </w:r>
      <w:r w:rsidR="00994FA1">
        <w:t>after</w:t>
      </w:r>
      <w:r w:rsidR="00B238EC">
        <w:t xml:space="preserve"> RAN</w:t>
      </w:r>
      <w:r w:rsidR="00491853">
        <w:t>1 106bis-e [1]</w:t>
      </w:r>
      <w:r w:rsidR="0079534C">
        <w:t xml:space="preserve">. </w:t>
      </w:r>
      <w:bookmarkStart w:id="2" w:name="_Ref473802466"/>
      <w:bookmarkStart w:id="3" w:name="_Ref462669569"/>
    </w:p>
    <w:p w14:paraId="06A4BD42" w14:textId="77777777" w:rsidR="002647DF" w:rsidRPr="00C73BCA" w:rsidRDefault="002647DF" w:rsidP="00B03BC5">
      <w:pPr>
        <w:widowControl w:val="0"/>
        <w:spacing w:after="120"/>
        <w:jc w:val="both"/>
      </w:pPr>
    </w:p>
    <w:p w14:paraId="54C058F1" w14:textId="73BC4F59" w:rsidR="005219CC" w:rsidRDefault="001A71CB" w:rsidP="00024409">
      <w:pPr>
        <w:pStyle w:val="Heading1"/>
        <w:spacing w:before="0" w:after="120"/>
      </w:pPr>
      <w:r>
        <w:t>Discussions</w:t>
      </w:r>
    </w:p>
    <w:p w14:paraId="779AC0EC" w14:textId="77777777" w:rsidR="00024409" w:rsidRDefault="00C47525" w:rsidP="00024409">
      <w:pPr>
        <w:spacing w:after="120"/>
        <w:rPr>
          <w:lang w:eastAsia="x-none"/>
        </w:rPr>
      </w:pPr>
      <w:r>
        <w:rPr>
          <w:lang w:val="en-GB"/>
        </w:rPr>
        <w:t xml:space="preserve">How to indicate the support of legacy UE features in NTN </w:t>
      </w:r>
      <w:r w:rsidR="00E27988">
        <w:rPr>
          <w:lang w:val="en-GB"/>
        </w:rPr>
        <w:t>is a</w:t>
      </w:r>
      <w:r w:rsidR="00CC2295">
        <w:rPr>
          <w:lang w:val="en-GB"/>
        </w:rPr>
        <w:t>n</w:t>
      </w:r>
      <w:r w:rsidR="00506E89">
        <w:rPr>
          <w:lang w:val="en-GB"/>
        </w:rPr>
        <w:t xml:space="preserve"> important question concerning NTN UE features and capability signal</w:t>
      </w:r>
      <w:r w:rsidR="00F17FC2">
        <w:rPr>
          <w:lang w:val="en-GB"/>
        </w:rPr>
        <w:t>l</w:t>
      </w:r>
      <w:r w:rsidR="00506E89">
        <w:rPr>
          <w:lang w:val="en-GB"/>
        </w:rPr>
        <w:t>ing</w:t>
      </w:r>
      <w:r w:rsidR="00E27988">
        <w:rPr>
          <w:lang w:eastAsia="x-none"/>
        </w:rPr>
        <w:t xml:space="preserve">. </w:t>
      </w:r>
      <w:r w:rsidR="002D5F1D">
        <w:rPr>
          <w:lang w:eastAsia="x-none"/>
        </w:rPr>
        <w:t xml:space="preserve">NR NTN is developed with the assumption that </w:t>
      </w:r>
      <w:r w:rsidR="00612DA1">
        <w:rPr>
          <w:lang w:eastAsia="x-none"/>
        </w:rPr>
        <w:t xml:space="preserve">any </w:t>
      </w:r>
      <w:r w:rsidR="00D001CD">
        <w:rPr>
          <w:lang w:eastAsia="x-none"/>
        </w:rPr>
        <w:t>legacy NR feature</w:t>
      </w:r>
      <w:r w:rsidR="00612DA1">
        <w:rPr>
          <w:lang w:eastAsia="x-none"/>
        </w:rPr>
        <w:t>, if needed,</w:t>
      </w:r>
      <w:r w:rsidR="00D001CD">
        <w:rPr>
          <w:lang w:eastAsia="x-none"/>
        </w:rPr>
        <w:t xml:space="preserve"> </w:t>
      </w:r>
      <w:r w:rsidR="00E65D69">
        <w:rPr>
          <w:lang w:eastAsia="x-none"/>
        </w:rPr>
        <w:t>is</w:t>
      </w:r>
      <w:r w:rsidR="00D001CD">
        <w:rPr>
          <w:lang w:eastAsia="x-none"/>
        </w:rPr>
        <w:t xml:space="preserve"> </w:t>
      </w:r>
      <w:r w:rsidR="00612DA1">
        <w:rPr>
          <w:lang w:eastAsia="x-none"/>
        </w:rPr>
        <w:t>supported</w:t>
      </w:r>
      <w:r w:rsidR="00D001CD">
        <w:rPr>
          <w:lang w:eastAsia="x-none"/>
        </w:rPr>
        <w:t xml:space="preserve">. However, not </w:t>
      </w:r>
      <w:r w:rsidR="006F5818">
        <w:rPr>
          <w:lang w:eastAsia="x-none"/>
        </w:rPr>
        <w:t xml:space="preserve">all legacy UE features are </w:t>
      </w:r>
      <w:r w:rsidR="007852E6">
        <w:rPr>
          <w:lang w:eastAsia="x-none"/>
        </w:rPr>
        <w:t>applicable</w:t>
      </w:r>
      <w:r w:rsidR="00357DAD">
        <w:rPr>
          <w:lang w:eastAsia="x-none"/>
        </w:rPr>
        <w:t xml:space="preserve">. </w:t>
      </w:r>
      <w:r w:rsidR="002904F7">
        <w:rPr>
          <w:lang w:eastAsia="x-none"/>
        </w:rPr>
        <w:t xml:space="preserve">Two options </w:t>
      </w:r>
      <w:r w:rsidR="00973DF1">
        <w:rPr>
          <w:lang w:eastAsia="x-none"/>
        </w:rPr>
        <w:t>are:</w:t>
      </w:r>
    </w:p>
    <w:p w14:paraId="07BFA526" w14:textId="77777777" w:rsidR="00024409" w:rsidRDefault="00B950C6" w:rsidP="00024409">
      <w:pPr>
        <w:pStyle w:val="ListParagraph"/>
        <w:numPr>
          <w:ilvl w:val="0"/>
          <w:numId w:val="47"/>
        </w:numPr>
        <w:spacing w:after="120"/>
        <w:rPr>
          <w:lang w:eastAsia="x-none"/>
        </w:rPr>
      </w:pPr>
      <w:r>
        <w:rPr>
          <w:lang w:eastAsia="x-none"/>
        </w:rPr>
        <w:t xml:space="preserve">If </w:t>
      </w:r>
      <w:r w:rsidR="00F073F4">
        <w:rPr>
          <w:lang w:eastAsia="x-none"/>
        </w:rPr>
        <w:t xml:space="preserve">a separate NTN container is used, legacy features </w:t>
      </w:r>
      <w:r w:rsidR="001C1952">
        <w:rPr>
          <w:lang w:eastAsia="x-none"/>
        </w:rPr>
        <w:t>applicable</w:t>
      </w:r>
      <w:r w:rsidR="00992026">
        <w:rPr>
          <w:lang w:eastAsia="x-none"/>
        </w:rPr>
        <w:t xml:space="preserve"> to</w:t>
      </w:r>
      <w:r w:rsidR="00F073F4">
        <w:rPr>
          <w:lang w:eastAsia="x-none"/>
        </w:rPr>
        <w:t xml:space="preserve"> NTN needs to be identified. </w:t>
      </w:r>
      <w:r w:rsidR="006F6E10">
        <w:rPr>
          <w:lang w:eastAsia="x-none"/>
        </w:rPr>
        <w:t xml:space="preserve">This approach </w:t>
      </w:r>
      <w:r w:rsidR="001E5869">
        <w:rPr>
          <w:lang w:eastAsia="x-none"/>
        </w:rPr>
        <w:t xml:space="preserve">however does not promote the sharing of UE features </w:t>
      </w:r>
      <w:r w:rsidR="00135E71">
        <w:rPr>
          <w:lang w:eastAsia="x-none"/>
        </w:rPr>
        <w:t>between TN and NTN networks.</w:t>
      </w:r>
    </w:p>
    <w:p w14:paraId="1D557A04" w14:textId="29003360" w:rsidR="00B3435B" w:rsidRPr="002D5F1D" w:rsidRDefault="00614C27" w:rsidP="00024409">
      <w:pPr>
        <w:pStyle w:val="ListParagraph"/>
        <w:numPr>
          <w:ilvl w:val="0"/>
          <w:numId w:val="47"/>
        </w:numPr>
        <w:spacing w:after="120"/>
        <w:rPr>
          <w:lang w:eastAsia="x-none"/>
        </w:rPr>
      </w:pPr>
      <w:r>
        <w:rPr>
          <w:lang w:eastAsia="x-none"/>
        </w:rPr>
        <w:t xml:space="preserve">If NR container is used, </w:t>
      </w:r>
      <w:r w:rsidR="001D7E3F">
        <w:rPr>
          <w:lang w:eastAsia="x-none"/>
        </w:rPr>
        <w:t>all NTN features must be per band or per band combination</w:t>
      </w:r>
      <w:r w:rsidR="004457CD">
        <w:rPr>
          <w:lang w:eastAsia="x-none"/>
        </w:rPr>
        <w:t xml:space="preserve"> by default</w:t>
      </w:r>
      <w:r w:rsidR="001D7E3F">
        <w:rPr>
          <w:lang w:eastAsia="x-none"/>
        </w:rPr>
        <w:t xml:space="preserve">. </w:t>
      </w:r>
      <w:r w:rsidR="00EC343D">
        <w:rPr>
          <w:lang w:eastAsia="x-none"/>
        </w:rPr>
        <w:t xml:space="preserve">Some legacy per-UE features </w:t>
      </w:r>
      <w:r w:rsidR="00542A63">
        <w:rPr>
          <w:lang w:eastAsia="x-none"/>
        </w:rPr>
        <w:t xml:space="preserve">may </w:t>
      </w:r>
      <w:r w:rsidR="00494C44">
        <w:rPr>
          <w:lang w:eastAsia="x-none"/>
        </w:rPr>
        <w:t>require different capability in NTN or may not</w:t>
      </w:r>
      <w:r w:rsidR="00973DF1">
        <w:rPr>
          <w:lang w:eastAsia="x-none"/>
        </w:rPr>
        <w:t xml:space="preserve"> be</w:t>
      </w:r>
      <w:r w:rsidR="00494C44">
        <w:rPr>
          <w:lang w:eastAsia="x-none"/>
        </w:rPr>
        <w:t xml:space="preserve"> applicable to NTN. </w:t>
      </w:r>
      <w:r w:rsidR="00AF32C2">
        <w:rPr>
          <w:lang w:eastAsia="x-none"/>
        </w:rPr>
        <w:t xml:space="preserve"> In such case, we may create a separate column in UE feature table such as /TN/NTN differ</w:t>
      </w:r>
      <w:r w:rsidR="000E7689">
        <w:rPr>
          <w:lang w:eastAsia="x-none"/>
        </w:rPr>
        <w:t>ent</w:t>
      </w:r>
      <w:r w:rsidR="00AF32C2">
        <w:rPr>
          <w:lang w:eastAsia="x-none"/>
        </w:rPr>
        <w:t>iation</w:t>
      </w:r>
      <w:r w:rsidR="000E7689">
        <w:rPr>
          <w:lang w:eastAsia="x-none"/>
        </w:rPr>
        <w:t xml:space="preserve">; </w:t>
      </w:r>
      <w:r w:rsidR="001A7C8F">
        <w:rPr>
          <w:lang w:eastAsia="x-none"/>
        </w:rPr>
        <w:t>o</w:t>
      </w:r>
      <w:r w:rsidR="000E7689">
        <w:rPr>
          <w:lang w:eastAsia="x-none"/>
        </w:rPr>
        <w:t xml:space="preserve">r </w:t>
      </w:r>
      <w:r w:rsidR="00905866">
        <w:rPr>
          <w:lang w:eastAsia="x-none"/>
        </w:rPr>
        <w:t>declare some of the features not applicable to NTN bands.</w:t>
      </w:r>
    </w:p>
    <w:p w14:paraId="40BB6908" w14:textId="28F8D57B" w:rsidR="00262038" w:rsidRDefault="00262038" w:rsidP="00B03BC5">
      <w:pPr>
        <w:spacing w:after="120"/>
        <w:rPr>
          <w:lang w:val="en-GB"/>
        </w:rPr>
      </w:pPr>
    </w:p>
    <w:p w14:paraId="6D22A506" w14:textId="15EEB537" w:rsidR="00262038" w:rsidRDefault="006F6E10" w:rsidP="00B03BC5">
      <w:pPr>
        <w:spacing w:after="120"/>
        <w:rPr>
          <w:lang w:val="en-GB"/>
        </w:rPr>
      </w:pPr>
      <w:r>
        <w:rPr>
          <w:lang w:val="en-GB"/>
        </w:rPr>
        <w:t>To answer the above questions, we have the following proposal:</w:t>
      </w:r>
    </w:p>
    <w:p w14:paraId="50D96ACB" w14:textId="77777777" w:rsidR="001B3434" w:rsidRPr="001B3434" w:rsidRDefault="009276E8" w:rsidP="00B03BC5">
      <w:pPr>
        <w:spacing w:after="120"/>
        <w:rPr>
          <w:b/>
          <w:bCs/>
          <w:lang w:val="en-GB"/>
        </w:rPr>
      </w:pPr>
      <w:r w:rsidRPr="001B3434">
        <w:rPr>
          <w:b/>
          <w:bCs/>
          <w:lang w:val="en-GB"/>
        </w:rPr>
        <w:t xml:space="preserve">Proposal 1: </w:t>
      </w:r>
    </w:p>
    <w:p w14:paraId="05214DF0" w14:textId="4A4F6761" w:rsidR="00C63740" w:rsidRPr="0073178E" w:rsidRDefault="007F500F" w:rsidP="00024409">
      <w:pPr>
        <w:pStyle w:val="ListParagraph"/>
        <w:numPr>
          <w:ilvl w:val="0"/>
          <w:numId w:val="44"/>
        </w:numPr>
        <w:spacing w:after="120"/>
        <w:ind w:left="648"/>
        <w:rPr>
          <w:rFonts w:ascii="Times New Roman" w:eastAsia="SimSun" w:hAnsi="Times New Roman"/>
          <w:b/>
          <w:bCs/>
          <w:sz w:val="20"/>
          <w:szCs w:val="20"/>
          <w:lang w:val="en-GB"/>
        </w:rPr>
      </w:pPr>
      <w:r w:rsidRPr="0073178E">
        <w:rPr>
          <w:rFonts w:ascii="Times New Roman" w:eastAsia="SimSun" w:hAnsi="Times New Roman"/>
          <w:b/>
          <w:bCs/>
          <w:sz w:val="20"/>
          <w:szCs w:val="20"/>
          <w:lang w:val="en-GB"/>
        </w:rPr>
        <w:t>N</w:t>
      </w:r>
      <w:r w:rsidR="009276E8" w:rsidRPr="0073178E">
        <w:rPr>
          <w:rFonts w:ascii="Times New Roman" w:eastAsia="SimSun" w:hAnsi="Times New Roman"/>
          <w:b/>
          <w:bCs/>
          <w:sz w:val="20"/>
          <w:szCs w:val="20"/>
          <w:lang w:val="en-GB"/>
        </w:rPr>
        <w:t xml:space="preserve">TN uses the </w:t>
      </w:r>
      <w:r w:rsidR="00EB1197" w:rsidRPr="0073178E">
        <w:rPr>
          <w:rFonts w:ascii="Times New Roman" w:eastAsia="SimSun" w:hAnsi="Times New Roman"/>
          <w:b/>
          <w:bCs/>
          <w:sz w:val="20"/>
          <w:szCs w:val="20"/>
          <w:lang w:val="en-GB"/>
        </w:rPr>
        <w:t xml:space="preserve">NR </w:t>
      </w:r>
      <w:r w:rsidR="009276E8" w:rsidRPr="0073178E">
        <w:rPr>
          <w:rFonts w:ascii="Times New Roman" w:eastAsia="SimSun" w:hAnsi="Times New Roman"/>
          <w:b/>
          <w:bCs/>
          <w:sz w:val="20"/>
          <w:szCs w:val="20"/>
          <w:lang w:val="en-GB"/>
        </w:rPr>
        <w:t>capability container</w:t>
      </w:r>
      <w:r w:rsidRPr="0073178E">
        <w:rPr>
          <w:rFonts w:ascii="Times New Roman" w:eastAsia="SimSun" w:hAnsi="Times New Roman"/>
          <w:b/>
          <w:bCs/>
          <w:sz w:val="20"/>
          <w:szCs w:val="20"/>
          <w:lang w:val="en-GB"/>
        </w:rPr>
        <w:t>.</w:t>
      </w:r>
    </w:p>
    <w:p w14:paraId="216FAAF9" w14:textId="77777777" w:rsidR="006E654D" w:rsidRPr="00445245" w:rsidRDefault="006E654D" w:rsidP="00024409">
      <w:pPr>
        <w:pStyle w:val="ListParagraph"/>
        <w:numPr>
          <w:ilvl w:val="0"/>
          <w:numId w:val="43"/>
        </w:numPr>
        <w:spacing w:after="120"/>
        <w:ind w:left="648"/>
        <w:rPr>
          <w:rFonts w:ascii="Times New Roman" w:eastAsia="SimSun" w:hAnsi="Times New Roman"/>
          <w:b/>
          <w:bCs/>
          <w:sz w:val="20"/>
          <w:szCs w:val="20"/>
          <w:lang w:val="en-GB"/>
        </w:rPr>
      </w:pPr>
      <w:r w:rsidRPr="00445245">
        <w:rPr>
          <w:rFonts w:ascii="Times New Roman" w:eastAsia="SimSun" w:hAnsi="Times New Roman"/>
          <w:b/>
          <w:bCs/>
          <w:sz w:val="20"/>
          <w:szCs w:val="20"/>
          <w:lang w:val="en-GB"/>
        </w:rPr>
        <w:t xml:space="preserve">Legacy NR features are applicable to NTN by default and exceptions are handled </w:t>
      </w:r>
      <w:r>
        <w:rPr>
          <w:rFonts w:ascii="Times New Roman" w:eastAsia="SimSun" w:hAnsi="Times New Roman"/>
          <w:b/>
          <w:bCs/>
          <w:sz w:val="20"/>
          <w:szCs w:val="20"/>
          <w:lang w:val="en-GB"/>
        </w:rPr>
        <w:t>only when</w:t>
      </w:r>
      <w:r w:rsidRPr="00445245">
        <w:rPr>
          <w:rFonts w:ascii="Times New Roman" w:eastAsia="SimSun" w:hAnsi="Times New Roman"/>
          <w:b/>
          <w:bCs/>
          <w:sz w:val="20"/>
          <w:szCs w:val="20"/>
          <w:lang w:val="en-GB"/>
        </w:rPr>
        <w:t xml:space="preserve"> request</w:t>
      </w:r>
      <w:r>
        <w:rPr>
          <w:rFonts w:ascii="Times New Roman" w:eastAsia="SimSun" w:hAnsi="Times New Roman"/>
          <w:b/>
          <w:bCs/>
          <w:sz w:val="20"/>
          <w:szCs w:val="20"/>
          <w:lang w:val="en-GB"/>
        </w:rPr>
        <w:t>ed</w:t>
      </w:r>
      <w:r w:rsidRPr="00445245">
        <w:rPr>
          <w:rFonts w:ascii="Times New Roman" w:eastAsia="SimSun" w:hAnsi="Times New Roman"/>
          <w:b/>
          <w:bCs/>
          <w:sz w:val="20"/>
          <w:szCs w:val="20"/>
          <w:lang w:val="en-GB"/>
        </w:rPr>
        <w:t xml:space="preserve">. </w:t>
      </w:r>
    </w:p>
    <w:p w14:paraId="7B225217" w14:textId="0B61DF23" w:rsidR="0073178E" w:rsidRDefault="0073178E" w:rsidP="00024409">
      <w:pPr>
        <w:pStyle w:val="ListParagraph"/>
        <w:numPr>
          <w:ilvl w:val="0"/>
          <w:numId w:val="43"/>
        </w:numPr>
        <w:spacing w:after="120"/>
        <w:ind w:left="648"/>
        <w:rPr>
          <w:rFonts w:ascii="Times New Roman" w:eastAsia="SimSun" w:hAnsi="Times New Roman"/>
          <w:b/>
          <w:bCs/>
          <w:sz w:val="20"/>
          <w:szCs w:val="20"/>
          <w:lang w:val="en-GB"/>
        </w:rPr>
      </w:pPr>
      <w:r>
        <w:rPr>
          <w:rFonts w:ascii="Times New Roman" w:eastAsia="SimSun" w:hAnsi="Times New Roman"/>
          <w:b/>
          <w:bCs/>
          <w:sz w:val="20"/>
          <w:szCs w:val="20"/>
          <w:lang w:val="en-GB"/>
        </w:rPr>
        <w:t xml:space="preserve">NTN </w:t>
      </w:r>
      <w:r w:rsidR="007A6913">
        <w:rPr>
          <w:rFonts w:ascii="Times New Roman" w:eastAsia="SimSun" w:hAnsi="Times New Roman"/>
          <w:b/>
          <w:bCs/>
          <w:sz w:val="20"/>
          <w:szCs w:val="20"/>
          <w:lang w:val="en-GB"/>
        </w:rPr>
        <w:t xml:space="preserve">UE features should be at least per band differentiated so that NTN and non-NTN capabilities can be </w:t>
      </w:r>
      <w:r w:rsidR="00445245">
        <w:rPr>
          <w:rFonts w:ascii="Times New Roman" w:eastAsia="SimSun" w:hAnsi="Times New Roman"/>
          <w:b/>
          <w:bCs/>
          <w:sz w:val="20"/>
          <w:szCs w:val="20"/>
          <w:lang w:val="en-GB"/>
        </w:rPr>
        <w:t>independently set</w:t>
      </w:r>
      <w:r w:rsidR="006E654D">
        <w:rPr>
          <w:rFonts w:ascii="Times New Roman" w:eastAsia="SimSun" w:hAnsi="Times New Roman"/>
          <w:b/>
          <w:bCs/>
          <w:sz w:val="20"/>
          <w:szCs w:val="20"/>
          <w:lang w:val="en-GB"/>
        </w:rPr>
        <w:t>.</w:t>
      </w:r>
    </w:p>
    <w:p w14:paraId="44B9F6B0" w14:textId="77777777" w:rsidR="006E654D" w:rsidRPr="0073178E" w:rsidRDefault="006E654D" w:rsidP="00B03BC5">
      <w:pPr>
        <w:pStyle w:val="ListParagraph"/>
        <w:spacing w:after="120"/>
        <w:ind w:left="0"/>
        <w:rPr>
          <w:rFonts w:ascii="Times New Roman" w:eastAsia="SimSun" w:hAnsi="Times New Roman"/>
          <w:b/>
          <w:bCs/>
          <w:sz w:val="20"/>
          <w:szCs w:val="20"/>
          <w:lang w:val="en-GB"/>
        </w:rPr>
      </w:pPr>
    </w:p>
    <w:p w14:paraId="7D7E3419" w14:textId="1D62C9C8" w:rsidR="00535B74" w:rsidRDefault="00D801DA" w:rsidP="00B03BC5">
      <w:pPr>
        <w:pStyle w:val="Heading1"/>
        <w:spacing w:before="0" w:after="120"/>
        <w:ind w:left="0"/>
        <w:rPr>
          <w:color w:val="000000" w:themeColor="text1"/>
        </w:rPr>
      </w:pPr>
      <w:r>
        <w:rPr>
          <w:color w:val="000000" w:themeColor="text1"/>
        </w:rPr>
        <w:t>UE Features</w:t>
      </w:r>
    </w:p>
    <w:p w14:paraId="5B78B905" w14:textId="4DD43020" w:rsidR="00913F95" w:rsidRDefault="00A736AD" w:rsidP="00B03BC5">
      <w:pPr>
        <w:spacing w:after="120"/>
        <w:rPr>
          <w:lang w:val="en-GB"/>
        </w:rPr>
      </w:pPr>
      <w:r>
        <w:rPr>
          <w:lang w:val="en-GB"/>
        </w:rPr>
        <w:t>After</w:t>
      </w:r>
      <w:r w:rsidR="00783878">
        <w:rPr>
          <w:lang w:val="en-GB"/>
        </w:rPr>
        <w:t xml:space="preserve"> RAN1 106bis-e, </w:t>
      </w:r>
      <w:r w:rsidR="00BE474A">
        <w:rPr>
          <w:lang w:val="en-GB"/>
        </w:rPr>
        <w:t xml:space="preserve">preliminary RAN1 UE features are summarized in [1]. </w:t>
      </w:r>
      <w:r w:rsidR="00A524B4">
        <w:rPr>
          <w:lang w:val="en-GB"/>
        </w:rPr>
        <w:t>Based on the latest summary, a</w:t>
      </w:r>
      <w:r w:rsidR="00374E2D">
        <w:rPr>
          <w:lang w:val="en-GB"/>
        </w:rPr>
        <w:t xml:space="preserve">dditional comments on </w:t>
      </w:r>
      <w:r w:rsidR="00E4241E">
        <w:rPr>
          <w:lang w:val="en-GB"/>
        </w:rPr>
        <w:t xml:space="preserve">UE features for NR-NTN are </w:t>
      </w:r>
      <w:r w:rsidR="0070204B">
        <w:rPr>
          <w:lang w:val="en-GB"/>
        </w:rPr>
        <w:t xml:space="preserve">provided below. </w:t>
      </w:r>
    </w:p>
    <w:p w14:paraId="666047F7" w14:textId="2DD38289" w:rsidR="0070204B" w:rsidRPr="00D954FF" w:rsidRDefault="00AC0179" w:rsidP="00202C8C">
      <w:pPr>
        <w:pStyle w:val="ListParagraph"/>
        <w:numPr>
          <w:ilvl w:val="0"/>
          <w:numId w:val="46"/>
        </w:numPr>
        <w:spacing w:after="120"/>
        <w:ind w:left="648"/>
        <w:rPr>
          <w:lang w:val="en-GB"/>
        </w:rPr>
      </w:pPr>
      <w:r>
        <w:rPr>
          <w:lang w:val="en-GB"/>
        </w:rPr>
        <w:t>S</w:t>
      </w:r>
      <w:r w:rsidRPr="00D954FF">
        <w:rPr>
          <w:lang w:val="en-GB"/>
        </w:rPr>
        <w:t>ince NTN is designed with the assumption that legacy NR features are supported in NTN whenever needed</w:t>
      </w:r>
      <w:r>
        <w:rPr>
          <w:lang w:val="en-GB"/>
        </w:rPr>
        <w:t xml:space="preserve">, </w:t>
      </w:r>
      <w:r w:rsidR="00771247" w:rsidRPr="00D954FF">
        <w:rPr>
          <w:lang w:val="en-GB"/>
        </w:rPr>
        <w:t>NR container should be used for NTN features</w:t>
      </w:r>
      <w:r w:rsidR="00316296" w:rsidRPr="00D954FF">
        <w:rPr>
          <w:lang w:val="en-GB"/>
        </w:rPr>
        <w:t xml:space="preserve">. As such, </w:t>
      </w:r>
      <w:r w:rsidR="00A354F9" w:rsidRPr="00D954FF">
        <w:rPr>
          <w:lang w:val="en-GB"/>
        </w:rPr>
        <w:t xml:space="preserve">NTN features should by default be per band or per band combination. </w:t>
      </w:r>
      <w:r w:rsidR="00316296" w:rsidRPr="00D954FF">
        <w:rPr>
          <w:lang w:val="en-GB"/>
        </w:rPr>
        <w:t xml:space="preserve"> </w:t>
      </w:r>
    </w:p>
    <w:p w14:paraId="7996546E" w14:textId="2F235BEB" w:rsidR="00EE3991" w:rsidRPr="003726FD" w:rsidRDefault="003726FD" w:rsidP="00300D5F">
      <w:pPr>
        <w:pStyle w:val="ListParagraph"/>
        <w:numPr>
          <w:ilvl w:val="0"/>
          <w:numId w:val="46"/>
        </w:numPr>
        <w:spacing w:after="120"/>
        <w:ind w:left="648"/>
        <w:rPr>
          <w:lang w:val="en-GB"/>
        </w:rPr>
      </w:pPr>
      <w:r w:rsidRPr="003726FD">
        <w:rPr>
          <w:lang w:val="en-GB"/>
        </w:rPr>
        <w:lastRenderedPageBreak/>
        <w:t>Since a</w:t>
      </w:r>
      <w:r w:rsidRPr="003726FD">
        <w:rPr>
          <w:lang w:val="en-GB"/>
        </w:rPr>
        <w:t xml:space="preserve"> UE might be able to support 32 HARQ processes for the DL but not for the UL, and vice versa</w:t>
      </w:r>
      <w:r w:rsidRPr="003726FD">
        <w:rPr>
          <w:lang w:val="en-GB"/>
        </w:rPr>
        <w:t xml:space="preserve">, </w:t>
      </w:r>
      <w:r w:rsidR="009B6B51" w:rsidRPr="003726FD">
        <w:rPr>
          <w:lang w:val="en-GB"/>
        </w:rPr>
        <w:t xml:space="preserve">UE feature 26-5, “increasing </w:t>
      </w:r>
      <w:r w:rsidR="002B7658" w:rsidRPr="003726FD">
        <w:rPr>
          <w:lang w:val="en-GB"/>
        </w:rPr>
        <w:t>the number of HARQ processes</w:t>
      </w:r>
      <w:r w:rsidR="00B95D97" w:rsidRPr="003726FD">
        <w:rPr>
          <w:lang w:val="en-GB"/>
        </w:rPr>
        <w:t xml:space="preserve">” should be </w:t>
      </w:r>
      <w:r>
        <w:rPr>
          <w:lang w:val="en-GB"/>
        </w:rPr>
        <w:t xml:space="preserve">separated into two, one for DL and </w:t>
      </w:r>
      <w:r w:rsidR="00291DCC">
        <w:rPr>
          <w:lang w:val="en-GB"/>
        </w:rPr>
        <w:t>the other for UL.</w:t>
      </w:r>
    </w:p>
    <w:p w14:paraId="71F5972E" w14:textId="547883D4" w:rsidR="00EE3991" w:rsidRPr="00291DCC" w:rsidRDefault="00F209D0" w:rsidP="00202C8C">
      <w:pPr>
        <w:pStyle w:val="ListParagraph"/>
        <w:numPr>
          <w:ilvl w:val="0"/>
          <w:numId w:val="46"/>
        </w:numPr>
        <w:spacing w:after="120"/>
        <w:ind w:left="648"/>
        <w:rPr>
          <w:rFonts w:asciiTheme="minorHAnsi" w:hAnsiTheme="minorHAnsi" w:cstheme="minorHAnsi"/>
          <w:lang w:val="en-GB"/>
        </w:rPr>
      </w:pPr>
      <w:r w:rsidRPr="00291DCC">
        <w:rPr>
          <w:rFonts w:asciiTheme="minorHAnsi" w:hAnsiTheme="minorHAnsi" w:cstheme="minorHAnsi"/>
          <w:lang w:val="en-GB"/>
        </w:rPr>
        <w:t>The</w:t>
      </w:r>
      <w:r w:rsidR="00145A03" w:rsidRPr="00291DCC">
        <w:rPr>
          <w:rFonts w:asciiTheme="minorHAnsi" w:hAnsiTheme="minorHAnsi" w:cstheme="minorHAnsi"/>
          <w:lang w:val="en-GB"/>
        </w:rPr>
        <w:t xml:space="preserve"> </w:t>
      </w:r>
      <w:r w:rsidR="001539EE" w:rsidRPr="00291DCC">
        <w:rPr>
          <w:rFonts w:asciiTheme="minorHAnsi" w:hAnsiTheme="minorHAnsi" w:cstheme="minorHAnsi"/>
          <w:lang w:val="en-GB"/>
        </w:rPr>
        <w:t>“</w:t>
      </w:r>
      <w:r w:rsidR="001539EE" w:rsidRPr="00291DCC">
        <w:rPr>
          <w:rFonts w:asciiTheme="minorHAnsi" w:hAnsiTheme="minorHAnsi" w:cstheme="minorHAnsi"/>
          <w:color w:val="000000" w:themeColor="text1"/>
          <w:szCs w:val="18"/>
        </w:rPr>
        <w:t>c</w:t>
      </w:r>
      <w:r w:rsidR="001539EE" w:rsidRPr="00291DCC">
        <w:rPr>
          <w:rFonts w:asciiTheme="minorHAnsi" w:hAnsiTheme="minorHAnsi" w:cstheme="minorHAnsi"/>
          <w:color w:val="000000" w:themeColor="text1"/>
          <w:szCs w:val="18"/>
        </w:rPr>
        <w:t>apability interpretation for mixture of FDD/TDD and/or FR1/FR2</w:t>
      </w:r>
      <w:r w:rsidR="001539EE" w:rsidRPr="00291DCC">
        <w:rPr>
          <w:rFonts w:asciiTheme="minorHAnsi" w:hAnsiTheme="minorHAnsi" w:cstheme="minorHAnsi"/>
          <w:color w:val="000000" w:themeColor="text1"/>
          <w:szCs w:val="18"/>
        </w:rPr>
        <w:t>”</w:t>
      </w:r>
      <w:r w:rsidRPr="00291DCC">
        <w:rPr>
          <w:rFonts w:asciiTheme="minorHAnsi" w:hAnsiTheme="minorHAnsi" w:cstheme="minorHAnsi"/>
          <w:color w:val="000000" w:themeColor="text1"/>
          <w:szCs w:val="18"/>
        </w:rPr>
        <w:t xml:space="preserve"> needs to be discussed on a per feature bas</w:t>
      </w:r>
      <w:r w:rsidR="00AB486A" w:rsidRPr="00291DCC">
        <w:rPr>
          <w:rFonts w:asciiTheme="minorHAnsi" w:hAnsiTheme="minorHAnsi" w:cstheme="minorHAnsi"/>
          <w:color w:val="000000" w:themeColor="text1"/>
          <w:szCs w:val="18"/>
        </w:rPr>
        <w:t xml:space="preserve">is. Support of TDD has yet to be </w:t>
      </w:r>
      <w:r w:rsidR="007B1E18" w:rsidRPr="00291DCC">
        <w:rPr>
          <w:rFonts w:asciiTheme="minorHAnsi" w:hAnsiTheme="minorHAnsi" w:cstheme="minorHAnsi"/>
          <w:color w:val="000000" w:themeColor="text1"/>
          <w:szCs w:val="18"/>
        </w:rPr>
        <w:t>addressed in general. Some of the features may not be needed for ATG</w:t>
      </w:r>
      <w:r w:rsidR="000F4B18" w:rsidRPr="00291DCC">
        <w:rPr>
          <w:rFonts w:asciiTheme="minorHAnsi" w:hAnsiTheme="minorHAnsi" w:cstheme="minorHAnsi"/>
          <w:color w:val="000000" w:themeColor="text1"/>
          <w:szCs w:val="18"/>
        </w:rPr>
        <w:t xml:space="preserve"> and HAPS</w:t>
      </w:r>
      <w:r w:rsidR="00E743A2" w:rsidRPr="00291DCC">
        <w:rPr>
          <w:rFonts w:asciiTheme="minorHAnsi" w:hAnsiTheme="minorHAnsi" w:cstheme="minorHAnsi"/>
          <w:color w:val="000000" w:themeColor="text1"/>
          <w:szCs w:val="18"/>
        </w:rPr>
        <w:t xml:space="preserve"> but be mandatory for LEO and GEO</w:t>
      </w:r>
      <w:r w:rsidR="000F4B18" w:rsidRPr="00291DCC">
        <w:rPr>
          <w:rFonts w:asciiTheme="minorHAnsi" w:hAnsiTheme="minorHAnsi" w:cstheme="minorHAnsi"/>
          <w:color w:val="000000" w:themeColor="text1"/>
          <w:szCs w:val="18"/>
        </w:rPr>
        <w:t xml:space="preserve">. We suggest </w:t>
      </w:r>
      <w:r w:rsidR="00826F71" w:rsidRPr="00291DCC">
        <w:rPr>
          <w:rFonts w:asciiTheme="minorHAnsi" w:hAnsiTheme="minorHAnsi" w:cstheme="minorHAnsi"/>
          <w:color w:val="000000" w:themeColor="text1"/>
          <w:szCs w:val="18"/>
        </w:rPr>
        <w:t>leaving</w:t>
      </w:r>
      <w:r w:rsidR="000F4B18" w:rsidRPr="00291DCC">
        <w:rPr>
          <w:rFonts w:asciiTheme="minorHAnsi" w:hAnsiTheme="minorHAnsi" w:cstheme="minorHAnsi"/>
          <w:color w:val="000000" w:themeColor="text1"/>
          <w:szCs w:val="18"/>
        </w:rPr>
        <w:t xml:space="preserve"> the discussion for ATG and HAPS to future</w:t>
      </w:r>
      <w:r w:rsidR="00E743A2" w:rsidRPr="00291DCC">
        <w:rPr>
          <w:rFonts w:asciiTheme="minorHAnsi" w:hAnsiTheme="minorHAnsi" w:cstheme="minorHAnsi"/>
          <w:color w:val="000000" w:themeColor="text1"/>
          <w:szCs w:val="18"/>
        </w:rPr>
        <w:t>.</w:t>
      </w:r>
      <w:r w:rsidR="00826F71" w:rsidRPr="00291DCC">
        <w:rPr>
          <w:rFonts w:asciiTheme="minorHAnsi" w:hAnsiTheme="minorHAnsi" w:cstheme="minorHAnsi"/>
          <w:color w:val="000000" w:themeColor="text1"/>
          <w:szCs w:val="18"/>
        </w:rPr>
        <w:t xml:space="preserve"> </w:t>
      </w:r>
      <w:r w:rsidR="00F54729" w:rsidRPr="00291DCC">
        <w:rPr>
          <w:rFonts w:asciiTheme="minorHAnsi" w:hAnsiTheme="minorHAnsi" w:cstheme="minorHAnsi"/>
          <w:color w:val="000000" w:themeColor="text1"/>
          <w:szCs w:val="18"/>
        </w:rPr>
        <w:t xml:space="preserve">On the other hand, some of the NTN features could be useful for ATG/HAPS even in </w:t>
      </w:r>
      <w:r w:rsidR="003C2707" w:rsidRPr="00291DCC">
        <w:rPr>
          <w:rFonts w:asciiTheme="minorHAnsi" w:hAnsiTheme="minorHAnsi" w:cstheme="minorHAnsi"/>
          <w:color w:val="000000" w:themeColor="text1"/>
          <w:szCs w:val="18"/>
        </w:rPr>
        <w:t>terrestrial bands. This is another reason to use NR container for NTN features.</w:t>
      </w:r>
    </w:p>
    <w:p w14:paraId="3C885592" w14:textId="55479D87" w:rsidR="00B953EA" w:rsidRDefault="00B953EA" w:rsidP="00B03BC5">
      <w:pPr>
        <w:spacing w:after="120"/>
        <w:rPr>
          <w:lang w:val="en-GB"/>
        </w:rPr>
      </w:pPr>
    </w:p>
    <w:p w14:paraId="37731591" w14:textId="77777777" w:rsidR="00B953EA" w:rsidRDefault="00B953EA" w:rsidP="00B03BC5">
      <w:pPr>
        <w:spacing w:after="120"/>
        <w:rPr>
          <w:lang w:val="en-GB"/>
        </w:rPr>
      </w:pPr>
    </w:p>
    <w:p w14:paraId="0C9766D7" w14:textId="194E0A0D" w:rsidR="00913F95" w:rsidRDefault="00913F95" w:rsidP="00B03BC5">
      <w:pPr>
        <w:overflowPunct/>
        <w:autoSpaceDE/>
        <w:autoSpaceDN/>
        <w:adjustRightInd/>
        <w:spacing w:after="120"/>
        <w:textAlignment w:val="auto"/>
        <w:rPr>
          <w:lang w:val="en-GB"/>
        </w:rPr>
      </w:pPr>
    </w:p>
    <w:bookmarkEnd w:id="2"/>
    <w:bookmarkEnd w:id="3"/>
    <w:p w14:paraId="1DBA4C22" w14:textId="0216470C" w:rsidR="00856CF3" w:rsidRDefault="00856CF3" w:rsidP="00B03BC5">
      <w:pPr>
        <w:pStyle w:val="Heading1"/>
        <w:spacing w:before="0" w:after="120"/>
        <w:ind w:left="0"/>
        <w:jc w:val="both"/>
        <w:rPr>
          <w:lang w:val="en-US"/>
        </w:rPr>
      </w:pPr>
      <w:r>
        <w:rPr>
          <w:lang w:val="en-US"/>
        </w:rPr>
        <w:t>Conclusions</w:t>
      </w:r>
    </w:p>
    <w:p w14:paraId="2BB04A03" w14:textId="3EC4BD9F" w:rsidR="00856CF3" w:rsidRDefault="00856CF3" w:rsidP="00B03BC5">
      <w:pPr>
        <w:spacing w:after="120"/>
      </w:pPr>
      <w:r>
        <w:t>We have provided input</w:t>
      </w:r>
      <w:r w:rsidR="004B4A61">
        <w:t>s</w:t>
      </w:r>
      <w:r>
        <w:t xml:space="preserve"> of UE features for NR NTN</w:t>
      </w:r>
      <w:r w:rsidR="004B4A61">
        <w:t xml:space="preserve"> based on updated features list after RAN1106 bis-e</w:t>
      </w:r>
      <w:r>
        <w:t>. We also have the flowing proposal concerning UE feature and capability signaling.</w:t>
      </w:r>
    </w:p>
    <w:p w14:paraId="444195A7" w14:textId="77777777" w:rsidR="00AC5A85" w:rsidRPr="001B3434" w:rsidRDefault="00AC5A85" w:rsidP="00AC5A85">
      <w:pPr>
        <w:spacing w:after="120"/>
        <w:rPr>
          <w:b/>
          <w:bCs/>
          <w:lang w:val="en-GB"/>
        </w:rPr>
      </w:pPr>
      <w:r w:rsidRPr="001B3434">
        <w:rPr>
          <w:b/>
          <w:bCs/>
          <w:lang w:val="en-GB"/>
        </w:rPr>
        <w:t xml:space="preserve">Proposal 1: </w:t>
      </w:r>
    </w:p>
    <w:p w14:paraId="23170C4C" w14:textId="77777777" w:rsidR="00AC5A85" w:rsidRPr="0073178E" w:rsidRDefault="00AC5A85" w:rsidP="00AC5A85">
      <w:pPr>
        <w:pStyle w:val="ListParagraph"/>
        <w:numPr>
          <w:ilvl w:val="0"/>
          <w:numId w:val="44"/>
        </w:numPr>
        <w:spacing w:after="120"/>
        <w:ind w:left="648"/>
        <w:rPr>
          <w:rFonts w:ascii="Times New Roman" w:eastAsia="SimSun" w:hAnsi="Times New Roman"/>
          <w:b/>
          <w:bCs/>
          <w:sz w:val="20"/>
          <w:szCs w:val="20"/>
          <w:lang w:val="en-GB"/>
        </w:rPr>
      </w:pPr>
      <w:r w:rsidRPr="0073178E">
        <w:rPr>
          <w:rFonts w:ascii="Times New Roman" w:eastAsia="SimSun" w:hAnsi="Times New Roman"/>
          <w:b/>
          <w:bCs/>
          <w:sz w:val="20"/>
          <w:szCs w:val="20"/>
          <w:lang w:val="en-GB"/>
        </w:rPr>
        <w:t>NTN uses the NR capability container.</w:t>
      </w:r>
    </w:p>
    <w:p w14:paraId="463F9747" w14:textId="77777777" w:rsidR="00AC5A85" w:rsidRPr="00445245" w:rsidRDefault="00AC5A85" w:rsidP="00AC5A85">
      <w:pPr>
        <w:pStyle w:val="ListParagraph"/>
        <w:numPr>
          <w:ilvl w:val="0"/>
          <w:numId w:val="43"/>
        </w:numPr>
        <w:spacing w:after="120"/>
        <w:ind w:left="648"/>
        <w:rPr>
          <w:rFonts w:ascii="Times New Roman" w:eastAsia="SimSun" w:hAnsi="Times New Roman"/>
          <w:b/>
          <w:bCs/>
          <w:sz w:val="20"/>
          <w:szCs w:val="20"/>
          <w:lang w:val="en-GB"/>
        </w:rPr>
      </w:pPr>
      <w:r w:rsidRPr="00445245">
        <w:rPr>
          <w:rFonts w:ascii="Times New Roman" w:eastAsia="SimSun" w:hAnsi="Times New Roman"/>
          <w:b/>
          <w:bCs/>
          <w:sz w:val="20"/>
          <w:szCs w:val="20"/>
          <w:lang w:val="en-GB"/>
        </w:rPr>
        <w:t xml:space="preserve">Legacy NR features are applicable to NTN by default and exceptions are handled </w:t>
      </w:r>
      <w:r>
        <w:rPr>
          <w:rFonts w:ascii="Times New Roman" w:eastAsia="SimSun" w:hAnsi="Times New Roman"/>
          <w:b/>
          <w:bCs/>
          <w:sz w:val="20"/>
          <w:szCs w:val="20"/>
          <w:lang w:val="en-GB"/>
        </w:rPr>
        <w:t>only when</w:t>
      </w:r>
      <w:r w:rsidRPr="00445245">
        <w:rPr>
          <w:rFonts w:ascii="Times New Roman" w:eastAsia="SimSun" w:hAnsi="Times New Roman"/>
          <w:b/>
          <w:bCs/>
          <w:sz w:val="20"/>
          <w:szCs w:val="20"/>
          <w:lang w:val="en-GB"/>
        </w:rPr>
        <w:t xml:space="preserve"> request</w:t>
      </w:r>
      <w:r>
        <w:rPr>
          <w:rFonts w:ascii="Times New Roman" w:eastAsia="SimSun" w:hAnsi="Times New Roman"/>
          <w:b/>
          <w:bCs/>
          <w:sz w:val="20"/>
          <w:szCs w:val="20"/>
          <w:lang w:val="en-GB"/>
        </w:rPr>
        <w:t>ed</w:t>
      </w:r>
      <w:r w:rsidRPr="00445245">
        <w:rPr>
          <w:rFonts w:ascii="Times New Roman" w:eastAsia="SimSun" w:hAnsi="Times New Roman"/>
          <w:b/>
          <w:bCs/>
          <w:sz w:val="20"/>
          <w:szCs w:val="20"/>
          <w:lang w:val="en-GB"/>
        </w:rPr>
        <w:t xml:space="preserve">. </w:t>
      </w:r>
    </w:p>
    <w:p w14:paraId="109B4634" w14:textId="77777777" w:rsidR="00AC5A85" w:rsidRDefault="00AC5A85" w:rsidP="00AC5A85">
      <w:pPr>
        <w:pStyle w:val="ListParagraph"/>
        <w:numPr>
          <w:ilvl w:val="0"/>
          <w:numId w:val="43"/>
        </w:numPr>
        <w:spacing w:after="120"/>
        <w:ind w:left="648"/>
        <w:rPr>
          <w:rFonts w:ascii="Times New Roman" w:eastAsia="SimSun" w:hAnsi="Times New Roman"/>
          <w:b/>
          <w:bCs/>
          <w:sz w:val="20"/>
          <w:szCs w:val="20"/>
          <w:lang w:val="en-GB"/>
        </w:rPr>
      </w:pPr>
      <w:r>
        <w:rPr>
          <w:rFonts w:ascii="Times New Roman" w:eastAsia="SimSun" w:hAnsi="Times New Roman"/>
          <w:b/>
          <w:bCs/>
          <w:sz w:val="20"/>
          <w:szCs w:val="20"/>
          <w:lang w:val="en-GB"/>
        </w:rPr>
        <w:t>NTN UE features should be at least per band differentiated so that NTN and non-NTN capabilities can be independently set.</w:t>
      </w:r>
    </w:p>
    <w:p w14:paraId="039DF79B" w14:textId="5E30B778" w:rsidR="00856CF3" w:rsidRDefault="00856CF3" w:rsidP="00B03BC5">
      <w:pPr>
        <w:spacing w:after="120"/>
      </w:pPr>
    </w:p>
    <w:p w14:paraId="0DFB5F59" w14:textId="77777777" w:rsidR="00856CF3" w:rsidRPr="00856CF3" w:rsidRDefault="00856CF3" w:rsidP="00B03BC5">
      <w:pPr>
        <w:spacing w:after="120"/>
      </w:pPr>
    </w:p>
    <w:p w14:paraId="64099BEB" w14:textId="0AF96C3E" w:rsidR="002F77EB" w:rsidRPr="00F0497A" w:rsidRDefault="00E523F3" w:rsidP="00B03BC5">
      <w:pPr>
        <w:pStyle w:val="Heading1"/>
        <w:spacing w:before="0" w:after="120"/>
        <w:ind w:left="0"/>
        <w:jc w:val="both"/>
        <w:rPr>
          <w:lang w:val="en-US"/>
        </w:rPr>
      </w:pPr>
      <w:r w:rsidRPr="000A64D8">
        <w:rPr>
          <w:lang w:val="en-US"/>
        </w:rPr>
        <w:t>References</w:t>
      </w:r>
      <w:bookmarkStart w:id="4" w:name="_Ref457730460"/>
      <w:bookmarkStart w:id="5" w:name="_Ref450735844"/>
      <w:bookmarkStart w:id="6" w:name="_Ref450342757"/>
      <w:r w:rsidR="002F77EB" w:rsidRPr="005D74B7">
        <w:rPr>
          <w:rFonts w:hint="eastAsia"/>
        </w:rPr>
        <w:tab/>
      </w:r>
    </w:p>
    <w:p w14:paraId="45B5BB41" w14:textId="23A82EBC" w:rsidR="009F0CB7" w:rsidRDefault="009F0CB7" w:rsidP="00AC5A85">
      <w:pPr>
        <w:pStyle w:val="ListParagraph"/>
        <w:numPr>
          <w:ilvl w:val="0"/>
          <w:numId w:val="2"/>
        </w:numPr>
        <w:spacing w:after="120"/>
        <w:rPr>
          <w:rFonts w:ascii="Times New Roman" w:hAnsi="Times New Roman"/>
          <w:sz w:val="20"/>
          <w:szCs w:val="20"/>
          <w:lang w:eastAsia="x-none"/>
        </w:rPr>
      </w:pPr>
      <w:bookmarkStart w:id="7" w:name="_Hlk24117808"/>
      <w:bookmarkStart w:id="8" w:name="_Ref461383190"/>
      <w:r w:rsidRPr="008C38C2">
        <w:rPr>
          <w:rFonts w:ascii="Times New Roman" w:hAnsi="Times New Roman"/>
          <w:sz w:val="20"/>
          <w:szCs w:val="20"/>
          <w:lang w:eastAsia="x-none"/>
        </w:rPr>
        <w:t>R1-2</w:t>
      </w:r>
      <w:r w:rsidR="0031653F">
        <w:rPr>
          <w:rFonts w:ascii="Times New Roman" w:hAnsi="Times New Roman"/>
          <w:sz w:val="20"/>
          <w:szCs w:val="20"/>
          <w:lang w:eastAsia="x-none"/>
        </w:rPr>
        <w:t>1</w:t>
      </w:r>
      <w:r w:rsidR="001006AC">
        <w:rPr>
          <w:rFonts w:ascii="Times New Roman" w:hAnsi="Times New Roman"/>
          <w:sz w:val="20"/>
          <w:szCs w:val="20"/>
          <w:lang w:eastAsia="x-none"/>
        </w:rPr>
        <w:t>10587</w:t>
      </w:r>
      <w:r w:rsidR="00887918" w:rsidRPr="008C38C2">
        <w:rPr>
          <w:rFonts w:ascii="Times New Roman" w:hAnsi="Times New Roman"/>
          <w:sz w:val="20"/>
          <w:szCs w:val="20"/>
          <w:lang w:eastAsia="x-none"/>
        </w:rPr>
        <w:t>,</w:t>
      </w:r>
      <w:r w:rsidR="007505A4">
        <w:rPr>
          <w:rFonts w:ascii="Times New Roman" w:hAnsi="Times New Roman"/>
          <w:sz w:val="20"/>
          <w:szCs w:val="20"/>
          <w:lang w:eastAsia="x-none"/>
        </w:rPr>
        <w:t xml:space="preserve"> “</w:t>
      </w:r>
      <w:r w:rsidR="00EB6729" w:rsidRPr="00EB6729">
        <w:rPr>
          <w:rFonts w:ascii="Times New Roman" w:eastAsia="Malgun Gothic" w:hAnsi="Times New Roman"/>
          <w:sz w:val="20"/>
          <w:szCs w:val="20"/>
        </w:rPr>
        <w:t>Updated RAN1 UE features list for Rel-17 NR after RAN1 #106bis-e</w:t>
      </w:r>
      <w:r w:rsidR="007842C5">
        <w:rPr>
          <w:rFonts w:ascii="Times New Roman" w:hAnsi="Times New Roman"/>
          <w:sz w:val="20"/>
          <w:szCs w:val="20"/>
          <w:lang w:eastAsia="x-none"/>
        </w:rPr>
        <w:t>”</w:t>
      </w:r>
      <w:r w:rsidR="008C38C2" w:rsidRPr="008C38C2">
        <w:rPr>
          <w:rFonts w:ascii="Times New Roman" w:hAnsi="Times New Roman"/>
          <w:sz w:val="20"/>
          <w:szCs w:val="20"/>
          <w:lang w:eastAsia="x-none"/>
        </w:rPr>
        <w:t>, 3GPP RAN1#10</w:t>
      </w:r>
      <w:r w:rsidR="00681D50">
        <w:rPr>
          <w:rFonts w:ascii="Times New Roman" w:hAnsi="Times New Roman"/>
          <w:sz w:val="20"/>
          <w:szCs w:val="20"/>
          <w:lang w:eastAsia="x-none"/>
        </w:rPr>
        <w:t>6</w:t>
      </w:r>
      <w:r w:rsidR="00E44817">
        <w:rPr>
          <w:rFonts w:ascii="Times New Roman" w:hAnsi="Times New Roman"/>
          <w:sz w:val="20"/>
          <w:szCs w:val="20"/>
          <w:lang w:eastAsia="x-none"/>
        </w:rPr>
        <w:t>bis-</w:t>
      </w:r>
      <w:r w:rsidR="008C38C2" w:rsidRPr="008C38C2">
        <w:rPr>
          <w:rFonts w:ascii="Times New Roman" w:hAnsi="Times New Roman"/>
          <w:sz w:val="20"/>
          <w:szCs w:val="20"/>
          <w:lang w:eastAsia="x-none"/>
        </w:rPr>
        <w:t xml:space="preserve">e, </w:t>
      </w:r>
      <w:r w:rsidR="00E44817">
        <w:rPr>
          <w:rFonts w:ascii="Times New Roman" w:hAnsi="Times New Roman"/>
          <w:sz w:val="20"/>
          <w:szCs w:val="20"/>
          <w:lang w:eastAsia="x-none"/>
        </w:rPr>
        <w:t>Oct</w:t>
      </w:r>
      <w:r w:rsidR="008C38C2" w:rsidRPr="008C38C2">
        <w:rPr>
          <w:rFonts w:ascii="Times New Roman" w:hAnsi="Times New Roman"/>
          <w:sz w:val="20"/>
          <w:szCs w:val="20"/>
          <w:lang w:eastAsia="x-none"/>
        </w:rPr>
        <w:t>. 202</w:t>
      </w:r>
      <w:r w:rsidR="00681D50">
        <w:rPr>
          <w:rFonts w:ascii="Times New Roman" w:hAnsi="Times New Roman"/>
          <w:sz w:val="20"/>
          <w:szCs w:val="20"/>
          <w:lang w:eastAsia="x-none"/>
        </w:rPr>
        <w:t>1</w:t>
      </w:r>
      <w:r w:rsidR="008C38C2" w:rsidRPr="008C38C2">
        <w:rPr>
          <w:rFonts w:ascii="Times New Roman" w:hAnsi="Times New Roman"/>
          <w:sz w:val="20"/>
          <w:szCs w:val="20"/>
          <w:lang w:eastAsia="x-none"/>
        </w:rPr>
        <w:t>.</w:t>
      </w:r>
    </w:p>
    <w:bookmarkEnd w:id="7"/>
    <w:p w14:paraId="054F6222" w14:textId="64F1BAE8" w:rsidR="00B16CDC" w:rsidRDefault="00B16CDC" w:rsidP="00B03BC5">
      <w:pPr>
        <w:pStyle w:val="ListParagraph"/>
        <w:spacing w:after="120"/>
        <w:ind w:left="0"/>
        <w:rPr>
          <w:rFonts w:ascii="Times New Roman" w:hAnsi="Times New Roman"/>
          <w:sz w:val="20"/>
          <w:szCs w:val="20"/>
        </w:rPr>
      </w:pPr>
    </w:p>
    <w:bookmarkEnd w:id="4"/>
    <w:bookmarkEnd w:id="5"/>
    <w:bookmarkEnd w:id="6"/>
    <w:bookmarkEnd w:id="8"/>
    <w:p w14:paraId="45D5CA0F" w14:textId="77777777" w:rsidR="00CE53DF" w:rsidRDefault="00CE53DF" w:rsidP="00B03BC5">
      <w:pPr>
        <w:pStyle w:val="B1"/>
        <w:spacing w:after="120"/>
        <w:ind w:left="0" w:firstLine="0"/>
      </w:pPr>
    </w:p>
    <w:sectPr w:rsidR="00CE53DF" w:rsidSect="00BC5DBA">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1138" w:bottom="1080"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30AA9" w14:textId="77777777" w:rsidR="001D6972" w:rsidRDefault="001D6972">
      <w:r>
        <w:separator/>
      </w:r>
    </w:p>
  </w:endnote>
  <w:endnote w:type="continuationSeparator" w:id="0">
    <w:p w14:paraId="46B9C322" w14:textId="77777777" w:rsidR="001D6972" w:rsidRDefault="001D6972">
      <w:r>
        <w:continuationSeparator/>
      </w:r>
    </w:p>
  </w:endnote>
  <w:endnote w:type="continuationNotice" w:id="1">
    <w:p w14:paraId="429B8264" w14:textId="77777777" w:rsidR="001D6972" w:rsidRDefault="001D6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27F84" w14:textId="77777777" w:rsidR="001D6972" w:rsidRDefault="001D6972">
      <w:r>
        <w:separator/>
      </w:r>
    </w:p>
  </w:footnote>
  <w:footnote w:type="continuationSeparator" w:id="0">
    <w:p w14:paraId="11D1C336" w14:textId="77777777" w:rsidR="001D6972" w:rsidRDefault="001D6972">
      <w:r>
        <w:continuationSeparator/>
      </w:r>
    </w:p>
  </w:footnote>
  <w:footnote w:type="continuationNotice" w:id="1">
    <w:p w14:paraId="631F1BA9" w14:textId="77777777" w:rsidR="001D6972" w:rsidRDefault="001D69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27174E8B"/>
    <w:multiLevelType w:val="hybridMultilevel"/>
    <w:tmpl w:val="CB8C4BD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3E051883"/>
    <w:multiLevelType w:val="hybridMultilevel"/>
    <w:tmpl w:val="FB8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E27D4D"/>
    <w:multiLevelType w:val="hybridMultilevel"/>
    <w:tmpl w:val="814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6C6AC9"/>
    <w:multiLevelType w:val="hybridMultilevel"/>
    <w:tmpl w:val="F3BAC10C"/>
    <w:lvl w:ilvl="0" w:tplc="02D40062">
      <w:start w:val="11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400C32"/>
    <w:multiLevelType w:val="hybridMultilevel"/>
    <w:tmpl w:val="9ADC87CC"/>
    <w:lvl w:ilvl="0" w:tplc="A656C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35"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5E2E5732"/>
    <w:multiLevelType w:val="hybridMultilevel"/>
    <w:tmpl w:val="E00E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9E5B44"/>
    <w:multiLevelType w:val="hybridMultilevel"/>
    <w:tmpl w:val="743CC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BD0E2C"/>
    <w:multiLevelType w:val="hybridMultilevel"/>
    <w:tmpl w:val="F3583174"/>
    <w:lvl w:ilvl="0" w:tplc="86723312">
      <w:start w:val="1"/>
      <w:numFmt w:val="decimal"/>
      <w:lvlText w:val="%1."/>
      <w:lvlJc w:val="left"/>
      <w:pPr>
        <w:ind w:left="360" w:hanging="360"/>
      </w:pPr>
      <w:rPr>
        <w:strike w:val="0"/>
        <w:color w:val="000000" w:themeColor="text1"/>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77B062E4"/>
    <w:multiLevelType w:val="hybridMultilevel"/>
    <w:tmpl w:val="FB8A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2"/>
  </w:num>
  <w:num w:numId="4">
    <w:abstractNumId w:val="13"/>
  </w:num>
  <w:num w:numId="5">
    <w:abstractNumId w:val="8"/>
  </w:num>
  <w:num w:numId="6">
    <w:abstractNumId w:val="26"/>
  </w:num>
  <w:num w:numId="7">
    <w:abstractNumId w:val="45"/>
  </w:num>
  <w:num w:numId="8">
    <w:abstractNumId w:val="28"/>
  </w:num>
  <w:num w:numId="9">
    <w:abstractNumId w:val="23"/>
  </w:num>
  <w:num w:numId="10">
    <w:abstractNumId w:val="42"/>
  </w:num>
  <w:num w:numId="11">
    <w:abstractNumId w:val="18"/>
  </w:num>
  <w:num w:numId="12">
    <w:abstractNumId w:val="37"/>
  </w:num>
  <w:num w:numId="13">
    <w:abstractNumId w:val="25"/>
  </w:num>
  <w:num w:numId="14">
    <w:abstractNumId w:val="7"/>
  </w:num>
  <w:num w:numId="15">
    <w:abstractNumId w:val="15"/>
  </w:num>
  <w:num w:numId="16">
    <w:abstractNumId w:val="31"/>
  </w:num>
  <w:num w:numId="17">
    <w:abstractNumId w:val="4"/>
  </w:num>
  <w:num w:numId="18">
    <w:abstractNumId w:val="11"/>
  </w:num>
  <w:num w:numId="19">
    <w:abstractNumId w:val="39"/>
  </w:num>
  <w:num w:numId="20">
    <w:abstractNumId w:val="16"/>
  </w:num>
  <w:num w:numId="21">
    <w:abstractNumId w:val="30"/>
  </w:num>
  <w:num w:numId="22">
    <w:abstractNumId w:val="34"/>
  </w:num>
  <w:num w:numId="23">
    <w:abstractNumId w:val="20"/>
  </w:num>
  <w:num w:numId="24">
    <w:abstractNumId w:val="19"/>
  </w:num>
  <w:num w:numId="25">
    <w:abstractNumId w:val="22"/>
  </w:num>
  <w:num w:numId="26">
    <w:abstractNumId w:val="27"/>
  </w:num>
  <w:num w:numId="27">
    <w:abstractNumId w:val="1"/>
  </w:num>
  <w:num w:numId="28">
    <w:abstractNumId w:val="43"/>
  </w:num>
  <w:num w:numId="29">
    <w:abstractNumId w:val="21"/>
  </w:num>
  <w:num w:numId="30">
    <w:abstractNumId w:val="32"/>
  </w:num>
  <w:num w:numId="31">
    <w:abstractNumId w:val="24"/>
  </w:num>
  <w:num w:numId="32">
    <w:abstractNumId w:val="9"/>
  </w:num>
  <w:num w:numId="33">
    <w:abstractNumId w:val="2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8"/>
  </w:num>
  <w:num w:numId="44">
    <w:abstractNumId w:val="17"/>
  </w:num>
  <w:num w:numId="45">
    <w:abstractNumId w:val="3"/>
  </w:num>
  <w:num w:numId="46">
    <w:abstractNumId w:val="41"/>
  </w:num>
  <w:num w:numId="47">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07DB3"/>
    <w:rsid w:val="000101EF"/>
    <w:rsid w:val="00010AF6"/>
    <w:rsid w:val="00010E97"/>
    <w:rsid w:val="00010FD1"/>
    <w:rsid w:val="000110AF"/>
    <w:rsid w:val="000110F4"/>
    <w:rsid w:val="0001117C"/>
    <w:rsid w:val="00011379"/>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40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C5"/>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E73"/>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A16"/>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8022A"/>
    <w:rsid w:val="00080418"/>
    <w:rsid w:val="000805B2"/>
    <w:rsid w:val="00080AAF"/>
    <w:rsid w:val="00080CFF"/>
    <w:rsid w:val="00080D74"/>
    <w:rsid w:val="00080D81"/>
    <w:rsid w:val="000812BE"/>
    <w:rsid w:val="00081383"/>
    <w:rsid w:val="00081A9B"/>
    <w:rsid w:val="000826F4"/>
    <w:rsid w:val="000826FF"/>
    <w:rsid w:val="00082A33"/>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2D42"/>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E3A"/>
    <w:rsid w:val="000E6576"/>
    <w:rsid w:val="000E65A7"/>
    <w:rsid w:val="000E6635"/>
    <w:rsid w:val="000E6B31"/>
    <w:rsid w:val="000E6BAF"/>
    <w:rsid w:val="000E6EED"/>
    <w:rsid w:val="000E6F62"/>
    <w:rsid w:val="000E7689"/>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2C79"/>
    <w:rsid w:val="000F34C7"/>
    <w:rsid w:val="000F3B40"/>
    <w:rsid w:val="000F3E08"/>
    <w:rsid w:val="000F3F2F"/>
    <w:rsid w:val="000F42EA"/>
    <w:rsid w:val="000F46BB"/>
    <w:rsid w:val="000F4B18"/>
    <w:rsid w:val="000F4CAF"/>
    <w:rsid w:val="000F4D2F"/>
    <w:rsid w:val="000F4F44"/>
    <w:rsid w:val="000F53CB"/>
    <w:rsid w:val="000F53FC"/>
    <w:rsid w:val="000F5A46"/>
    <w:rsid w:val="000F6799"/>
    <w:rsid w:val="000F6881"/>
    <w:rsid w:val="000F6BCD"/>
    <w:rsid w:val="000F6C29"/>
    <w:rsid w:val="000F6C32"/>
    <w:rsid w:val="000F6D86"/>
    <w:rsid w:val="000F6E12"/>
    <w:rsid w:val="000F7CAD"/>
    <w:rsid w:val="00100097"/>
    <w:rsid w:val="001000E9"/>
    <w:rsid w:val="00100161"/>
    <w:rsid w:val="00100169"/>
    <w:rsid w:val="0010067A"/>
    <w:rsid w:val="001006AC"/>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B58"/>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BC1"/>
    <w:rsid w:val="0011034F"/>
    <w:rsid w:val="001103C6"/>
    <w:rsid w:val="00110851"/>
    <w:rsid w:val="001108EE"/>
    <w:rsid w:val="00110998"/>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839"/>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5E71"/>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5A03"/>
    <w:rsid w:val="00145BBA"/>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9E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2262"/>
    <w:rsid w:val="001623A3"/>
    <w:rsid w:val="00162BD5"/>
    <w:rsid w:val="00162CF1"/>
    <w:rsid w:val="00162F82"/>
    <w:rsid w:val="001630E4"/>
    <w:rsid w:val="001631EE"/>
    <w:rsid w:val="0016368F"/>
    <w:rsid w:val="001639BC"/>
    <w:rsid w:val="00163AFC"/>
    <w:rsid w:val="00163C9A"/>
    <w:rsid w:val="00164646"/>
    <w:rsid w:val="001647FA"/>
    <w:rsid w:val="00165137"/>
    <w:rsid w:val="001652DD"/>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CB"/>
    <w:rsid w:val="001A71EB"/>
    <w:rsid w:val="001A72C6"/>
    <w:rsid w:val="001A72EE"/>
    <w:rsid w:val="001A7826"/>
    <w:rsid w:val="001A79DA"/>
    <w:rsid w:val="001A7A9B"/>
    <w:rsid w:val="001A7C8F"/>
    <w:rsid w:val="001A7F48"/>
    <w:rsid w:val="001B00B2"/>
    <w:rsid w:val="001B0149"/>
    <w:rsid w:val="001B0251"/>
    <w:rsid w:val="001B033D"/>
    <w:rsid w:val="001B1565"/>
    <w:rsid w:val="001B1A2F"/>
    <w:rsid w:val="001B1AC3"/>
    <w:rsid w:val="001B1CEB"/>
    <w:rsid w:val="001B1EC4"/>
    <w:rsid w:val="001B1F72"/>
    <w:rsid w:val="001B24DE"/>
    <w:rsid w:val="001B2993"/>
    <w:rsid w:val="001B2C18"/>
    <w:rsid w:val="001B2D83"/>
    <w:rsid w:val="001B3434"/>
    <w:rsid w:val="001B35C1"/>
    <w:rsid w:val="001B3754"/>
    <w:rsid w:val="001B3A10"/>
    <w:rsid w:val="001B420C"/>
    <w:rsid w:val="001B42CB"/>
    <w:rsid w:val="001B4371"/>
    <w:rsid w:val="001B48E7"/>
    <w:rsid w:val="001B5332"/>
    <w:rsid w:val="001B54E9"/>
    <w:rsid w:val="001B55DE"/>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52"/>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226"/>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56C"/>
    <w:rsid w:val="001D0578"/>
    <w:rsid w:val="001D0593"/>
    <w:rsid w:val="001D0A76"/>
    <w:rsid w:val="001D1258"/>
    <w:rsid w:val="001D13B7"/>
    <w:rsid w:val="001D19F8"/>
    <w:rsid w:val="001D1CFF"/>
    <w:rsid w:val="001D2B3C"/>
    <w:rsid w:val="001D2E6C"/>
    <w:rsid w:val="001D3520"/>
    <w:rsid w:val="001D35DC"/>
    <w:rsid w:val="001D43C0"/>
    <w:rsid w:val="001D448E"/>
    <w:rsid w:val="001D47CB"/>
    <w:rsid w:val="001D4969"/>
    <w:rsid w:val="001D4AF0"/>
    <w:rsid w:val="001D4F24"/>
    <w:rsid w:val="001D506F"/>
    <w:rsid w:val="001D57BC"/>
    <w:rsid w:val="001D630F"/>
    <w:rsid w:val="001D6972"/>
    <w:rsid w:val="001D6B56"/>
    <w:rsid w:val="001D6E61"/>
    <w:rsid w:val="001D6F30"/>
    <w:rsid w:val="001D7260"/>
    <w:rsid w:val="001D7469"/>
    <w:rsid w:val="001D7764"/>
    <w:rsid w:val="001D7816"/>
    <w:rsid w:val="001D7ADE"/>
    <w:rsid w:val="001D7B96"/>
    <w:rsid w:val="001D7E3F"/>
    <w:rsid w:val="001D7EB4"/>
    <w:rsid w:val="001D7FE2"/>
    <w:rsid w:val="001E02D6"/>
    <w:rsid w:val="001E0813"/>
    <w:rsid w:val="001E09F4"/>
    <w:rsid w:val="001E0A73"/>
    <w:rsid w:val="001E0DFE"/>
    <w:rsid w:val="001E0ECB"/>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869"/>
    <w:rsid w:val="001E5BB2"/>
    <w:rsid w:val="001E5D1F"/>
    <w:rsid w:val="001E6313"/>
    <w:rsid w:val="001E6BDA"/>
    <w:rsid w:val="001E6C1B"/>
    <w:rsid w:val="001E7173"/>
    <w:rsid w:val="001E719A"/>
    <w:rsid w:val="001E750C"/>
    <w:rsid w:val="001E7A8F"/>
    <w:rsid w:val="001E7D26"/>
    <w:rsid w:val="001F0110"/>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C8C"/>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5ED3"/>
    <w:rsid w:val="0020610B"/>
    <w:rsid w:val="002063A7"/>
    <w:rsid w:val="0020671A"/>
    <w:rsid w:val="0020674D"/>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1B1"/>
    <w:rsid w:val="00211345"/>
    <w:rsid w:val="002114FA"/>
    <w:rsid w:val="0021154D"/>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EC"/>
    <w:rsid w:val="002204ED"/>
    <w:rsid w:val="002208BE"/>
    <w:rsid w:val="0022091D"/>
    <w:rsid w:val="00220E92"/>
    <w:rsid w:val="00221022"/>
    <w:rsid w:val="002210BD"/>
    <w:rsid w:val="0022135D"/>
    <w:rsid w:val="00221A25"/>
    <w:rsid w:val="00221B64"/>
    <w:rsid w:val="00221C7C"/>
    <w:rsid w:val="00221F04"/>
    <w:rsid w:val="00222052"/>
    <w:rsid w:val="002222A4"/>
    <w:rsid w:val="00222AB8"/>
    <w:rsid w:val="00222B1A"/>
    <w:rsid w:val="00222B25"/>
    <w:rsid w:val="00222FE7"/>
    <w:rsid w:val="00223833"/>
    <w:rsid w:val="00223ACD"/>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4E"/>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F71"/>
    <w:rsid w:val="00237065"/>
    <w:rsid w:val="002373FC"/>
    <w:rsid w:val="00237905"/>
    <w:rsid w:val="00237C6F"/>
    <w:rsid w:val="00237D22"/>
    <w:rsid w:val="0024029F"/>
    <w:rsid w:val="00240487"/>
    <w:rsid w:val="002405D7"/>
    <w:rsid w:val="00240956"/>
    <w:rsid w:val="00240B7D"/>
    <w:rsid w:val="00240C63"/>
    <w:rsid w:val="00240F65"/>
    <w:rsid w:val="0024103F"/>
    <w:rsid w:val="0024190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85A"/>
    <w:rsid w:val="00247C92"/>
    <w:rsid w:val="00247DD1"/>
    <w:rsid w:val="002506F5"/>
    <w:rsid w:val="002508C7"/>
    <w:rsid w:val="00250D9C"/>
    <w:rsid w:val="00251111"/>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038"/>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7DF"/>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3165"/>
    <w:rsid w:val="002832E7"/>
    <w:rsid w:val="00283CA8"/>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4F7"/>
    <w:rsid w:val="00290C83"/>
    <w:rsid w:val="00290F96"/>
    <w:rsid w:val="0029130D"/>
    <w:rsid w:val="0029142E"/>
    <w:rsid w:val="0029152E"/>
    <w:rsid w:val="002915DA"/>
    <w:rsid w:val="0029178F"/>
    <w:rsid w:val="00291C45"/>
    <w:rsid w:val="00291CAE"/>
    <w:rsid w:val="00291DCC"/>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3F3"/>
    <w:rsid w:val="002B59EE"/>
    <w:rsid w:val="002B601A"/>
    <w:rsid w:val="002B61F1"/>
    <w:rsid w:val="002B6229"/>
    <w:rsid w:val="002B64FE"/>
    <w:rsid w:val="002B67C5"/>
    <w:rsid w:val="002B694E"/>
    <w:rsid w:val="002B6D31"/>
    <w:rsid w:val="002B6FBC"/>
    <w:rsid w:val="002B6FED"/>
    <w:rsid w:val="002B70A2"/>
    <w:rsid w:val="002B7386"/>
    <w:rsid w:val="002B7658"/>
    <w:rsid w:val="002B7D56"/>
    <w:rsid w:val="002C04C2"/>
    <w:rsid w:val="002C0818"/>
    <w:rsid w:val="002C0D11"/>
    <w:rsid w:val="002C1019"/>
    <w:rsid w:val="002C13DC"/>
    <w:rsid w:val="002C196E"/>
    <w:rsid w:val="002C1A96"/>
    <w:rsid w:val="002C1B17"/>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6D6A"/>
    <w:rsid w:val="002C76A4"/>
    <w:rsid w:val="002C782F"/>
    <w:rsid w:val="002C7B03"/>
    <w:rsid w:val="002C7B0D"/>
    <w:rsid w:val="002C7C38"/>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A54"/>
    <w:rsid w:val="002D4E37"/>
    <w:rsid w:val="002D4E9C"/>
    <w:rsid w:val="002D52E0"/>
    <w:rsid w:val="002D5DEA"/>
    <w:rsid w:val="002D5F1D"/>
    <w:rsid w:val="002D5F4F"/>
    <w:rsid w:val="002D6127"/>
    <w:rsid w:val="002D61BE"/>
    <w:rsid w:val="002D61F0"/>
    <w:rsid w:val="002D6A9E"/>
    <w:rsid w:val="002D6D5B"/>
    <w:rsid w:val="002D6E49"/>
    <w:rsid w:val="002D7235"/>
    <w:rsid w:val="002D76E8"/>
    <w:rsid w:val="002D7DEC"/>
    <w:rsid w:val="002E0E94"/>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0AA"/>
    <w:rsid w:val="002E6809"/>
    <w:rsid w:val="002E7566"/>
    <w:rsid w:val="002E7569"/>
    <w:rsid w:val="002E76A7"/>
    <w:rsid w:val="002F0045"/>
    <w:rsid w:val="002F00F0"/>
    <w:rsid w:val="002F025B"/>
    <w:rsid w:val="002F0684"/>
    <w:rsid w:val="002F09C0"/>
    <w:rsid w:val="002F0ADB"/>
    <w:rsid w:val="002F0E34"/>
    <w:rsid w:val="002F1660"/>
    <w:rsid w:val="002F1B19"/>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59A"/>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5FB"/>
    <w:rsid w:val="00306ED2"/>
    <w:rsid w:val="00306F89"/>
    <w:rsid w:val="0030749E"/>
    <w:rsid w:val="0030761B"/>
    <w:rsid w:val="00307B27"/>
    <w:rsid w:val="00307E9A"/>
    <w:rsid w:val="00307F28"/>
    <w:rsid w:val="003101DC"/>
    <w:rsid w:val="0031049F"/>
    <w:rsid w:val="0031050E"/>
    <w:rsid w:val="00310ABA"/>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296"/>
    <w:rsid w:val="00316316"/>
    <w:rsid w:val="00316466"/>
    <w:rsid w:val="0031653F"/>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679"/>
    <w:rsid w:val="0032285A"/>
    <w:rsid w:val="003228CE"/>
    <w:rsid w:val="00322BC3"/>
    <w:rsid w:val="00322C2B"/>
    <w:rsid w:val="00322E3B"/>
    <w:rsid w:val="003232E3"/>
    <w:rsid w:val="00323FAD"/>
    <w:rsid w:val="00324089"/>
    <w:rsid w:val="0032428A"/>
    <w:rsid w:val="00324701"/>
    <w:rsid w:val="0032489D"/>
    <w:rsid w:val="003249F8"/>
    <w:rsid w:val="00324DDA"/>
    <w:rsid w:val="003252CE"/>
    <w:rsid w:val="0032556B"/>
    <w:rsid w:val="0032651E"/>
    <w:rsid w:val="003267A6"/>
    <w:rsid w:val="00326E89"/>
    <w:rsid w:val="003271E3"/>
    <w:rsid w:val="003272D0"/>
    <w:rsid w:val="003273DE"/>
    <w:rsid w:val="003278C7"/>
    <w:rsid w:val="0032793B"/>
    <w:rsid w:val="00327AEA"/>
    <w:rsid w:val="00327D99"/>
    <w:rsid w:val="00327FA5"/>
    <w:rsid w:val="0033006A"/>
    <w:rsid w:val="003308C4"/>
    <w:rsid w:val="00330C30"/>
    <w:rsid w:val="00330C4D"/>
    <w:rsid w:val="00330CB1"/>
    <w:rsid w:val="00330D27"/>
    <w:rsid w:val="00330DE8"/>
    <w:rsid w:val="00330E01"/>
    <w:rsid w:val="00330E20"/>
    <w:rsid w:val="00331C86"/>
    <w:rsid w:val="00332123"/>
    <w:rsid w:val="003321C3"/>
    <w:rsid w:val="00332962"/>
    <w:rsid w:val="00332C7A"/>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57DAD"/>
    <w:rsid w:val="003604DB"/>
    <w:rsid w:val="00360BC6"/>
    <w:rsid w:val="00360D71"/>
    <w:rsid w:val="00360E2B"/>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B71"/>
    <w:rsid w:val="00370EFD"/>
    <w:rsid w:val="00371137"/>
    <w:rsid w:val="003711C5"/>
    <w:rsid w:val="00371621"/>
    <w:rsid w:val="003719F5"/>
    <w:rsid w:val="00372019"/>
    <w:rsid w:val="00372029"/>
    <w:rsid w:val="003724A1"/>
    <w:rsid w:val="003726FD"/>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E2D"/>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1DE"/>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71"/>
    <w:rsid w:val="003B31DB"/>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707"/>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78A"/>
    <w:rsid w:val="003F2A56"/>
    <w:rsid w:val="003F348A"/>
    <w:rsid w:val="003F39E9"/>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322"/>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245"/>
    <w:rsid w:val="00445513"/>
    <w:rsid w:val="0044561E"/>
    <w:rsid w:val="00445625"/>
    <w:rsid w:val="0044567C"/>
    <w:rsid w:val="004457CD"/>
    <w:rsid w:val="00445907"/>
    <w:rsid w:val="00445CFF"/>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289B"/>
    <w:rsid w:val="004530FA"/>
    <w:rsid w:val="00453871"/>
    <w:rsid w:val="00453DEF"/>
    <w:rsid w:val="004540AC"/>
    <w:rsid w:val="004543E4"/>
    <w:rsid w:val="004548E5"/>
    <w:rsid w:val="00454ACD"/>
    <w:rsid w:val="00454F08"/>
    <w:rsid w:val="00454F85"/>
    <w:rsid w:val="00455105"/>
    <w:rsid w:val="00455E20"/>
    <w:rsid w:val="00456114"/>
    <w:rsid w:val="0045623E"/>
    <w:rsid w:val="0045675F"/>
    <w:rsid w:val="00456969"/>
    <w:rsid w:val="00456971"/>
    <w:rsid w:val="00456AC7"/>
    <w:rsid w:val="0045729C"/>
    <w:rsid w:val="0045742D"/>
    <w:rsid w:val="00457C5E"/>
    <w:rsid w:val="0046026D"/>
    <w:rsid w:val="0046027A"/>
    <w:rsid w:val="00460586"/>
    <w:rsid w:val="004605CC"/>
    <w:rsid w:val="00460671"/>
    <w:rsid w:val="0046072D"/>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2E1"/>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BA1"/>
    <w:rsid w:val="00487F28"/>
    <w:rsid w:val="00490185"/>
    <w:rsid w:val="00490532"/>
    <w:rsid w:val="00490649"/>
    <w:rsid w:val="0049093B"/>
    <w:rsid w:val="00490E33"/>
    <w:rsid w:val="00490E94"/>
    <w:rsid w:val="00490EE3"/>
    <w:rsid w:val="00491294"/>
    <w:rsid w:val="0049143D"/>
    <w:rsid w:val="004914CD"/>
    <w:rsid w:val="004917C1"/>
    <w:rsid w:val="00491840"/>
    <w:rsid w:val="00491853"/>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C44"/>
    <w:rsid w:val="00494E75"/>
    <w:rsid w:val="00495071"/>
    <w:rsid w:val="004961DB"/>
    <w:rsid w:val="0049625A"/>
    <w:rsid w:val="0049653E"/>
    <w:rsid w:val="004966DE"/>
    <w:rsid w:val="00496BEF"/>
    <w:rsid w:val="00496DC2"/>
    <w:rsid w:val="00496E38"/>
    <w:rsid w:val="00496FF0"/>
    <w:rsid w:val="00497374"/>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5E"/>
    <w:rsid w:val="004A3AA3"/>
    <w:rsid w:val="004A3CB9"/>
    <w:rsid w:val="004A3D4A"/>
    <w:rsid w:val="004A3E71"/>
    <w:rsid w:val="004A4625"/>
    <w:rsid w:val="004A4900"/>
    <w:rsid w:val="004A4A1D"/>
    <w:rsid w:val="004A4D38"/>
    <w:rsid w:val="004A4D5D"/>
    <w:rsid w:val="004A4E7E"/>
    <w:rsid w:val="004A4E95"/>
    <w:rsid w:val="004A4EB4"/>
    <w:rsid w:val="004A51FA"/>
    <w:rsid w:val="004A5270"/>
    <w:rsid w:val="004A57FC"/>
    <w:rsid w:val="004A5D36"/>
    <w:rsid w:val="004A62EC"/>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A61"/>
    <w:rsid w:val="004B4F6B"/>
    <w:rsid w:val="004B50E0"/>
    <w:rsid w:val="004B5101"/>
    <w:rsid w:val="004B55EC"/>
    <w:rsid w:val="004B5856"/>
    <w:rsid w:val="004B6199"/>
    <w:rsid w:val="004B6208"/>
    <w:rsid w:val="004B6301"/>
    <w:rsid w:val="004B6975"/>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2F3B"/>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A3"/>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7A2"/>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6E89"/>
    <w:rsid w:val="005074C9"/>
    <w:rsid w:val="00507754"/>
    <w:rsid w:val="00507CAF"/>
    <w:rsid w:val="00510112"/>
    <w:rsid w:val="00510374"/>
    <w:rsid w:val="00510444"/>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9CC"/>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A63"/>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9F0"/>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7F5"/>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75A"/>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0BF"/>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822"/>
    <w:rsid w:val="00583DEF"/>
    <w:rsid w:val="00583E78"/>
    <w:rsid w:val="00584496"/>
    <w:rsid w:val="00584D2C"/>
    <w:rsid w:val="00584FAE"/>
    <w:rsid w:val="005852AA"/>
    <w:rsid w:val="0058531C"/>
    <w:rsid w:val="005856D1"/>
    <w:rsid w:val="00585867"/>
    <w:rsid w:val="00585A58"/>
    <w:rsid w:val="00585C3A"/>
    <w:rsid w:val="00586013"/>
    <w:rsid w:val="005861AC"/>
    <w:rsid w:val="0058628A"/>
    <w:rsid w:val="005866CD"/>
    <w:rsid w:val="00586B34"/>
    <w:rsid w:val="00587117"/>
    <w:rsid w:val="0058759B"/>
    <w:rsid w:val="0058764D"/>
    <w:rsid w:val="00587AC9"/>
    <w:rsid w:val="00587AF2"/>
    <w:rsid w:val="0059027C"/>
    <w:rsid w:val="005909AD"/>
    <w:rsid w:val="00590A68"/>
    <w:rsid w:val="00590BF6"/>
    <w:rsid w:val="00591B9C"/>
    <w:rsid w:val="00592160"/>
    <w:rsid w:val="005923C9"/>
    <w:rsid w:val="0059284F"/>
    <w:rsid w:val="00592E44"/>
    <w:rsid w:val="00592E68"/>
    <w:rsid w:val="0059323A"/>
    <w:rsid w:val="00593447"/>
    <w:rsid w:val="005937D1"/>
    <w:rsid w:val="00593C33"/>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73F"/>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01"/>
    <w:rsid w:val="005E2836"/>
    <w:rsid w:val="005E2E84"/>
    <w:rsid w:val="005E3035"/>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DA1"/>
    <w:rsid w:val="00612E96"/>
    <w:rsid w:val="0061335A"/>
    <w:rsid w:val="006133A2"/>
    <w:rsid w:val="006134CE"/>
    <w:rsid w:val="006138D8"/>
    <w:rsid w:val="00613A55"/>
    <w:rsid w:val="00614016"/>
    <w:rsid w:val="00614064"/>
    <w:rsid w:val="006141D8"/>
    <w:rsid w:val="00614375"/>
    <w:rsid w:val="006144B0"/>
    <w:rsid w:val="00614BDD"/>
    <w:rsid w:val="00614C27"/>
    <w:rsid w:val="00614C2F"/>
    <w:rsid w:val="00614CB4"/>
    <w:rsid w:val="00614D1E"/>
    <w:rsid w:val="00614E35"/>
    <w:rsid w:val="0061513A"/>
    <w:rsid w:val="0061524B"/>
    <w:rsid w:val="0061565F"/>
    <w:rsid w:val="006159FA"/>
    <w:rsid w:val="00615BDB"/>
    <w:rsid w:val="00615CC4"/>
    <w:rsid w:val="00615E26"/>
    <w:rsid w:val="0061619B"/>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0FFE"/>
    <w:rsid w:val="00631007"/>
    <w:rsid w:val="00631826"/>
    <w:rsid w:val="00632170"/>
    <w:rsid w:val="00632474"/>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6DD6"/>
    <w:rsid w:val="00657005"/>
    <w:rsid w:val="006572FB"/>
    <w:rsid w:val="006578D9"/>
    <w:rsid w:val="00657F67"/>
    <w:rsid w:val="006605DC"/>
    <w:rsid w:val="0066146F"/>
    <w:rsid w:val="00661636"/>
    <w:rsid w:val="00661C4E"/>
    <w:rsid w:val="00661CC2"/>
    <w:rsid w:val="00662166"/>
    <w:rsid w:val="006622B7"/>
    <w:rsid w:val="00662FA2"/>
    <w:rsid w:val="0066310A"/>
    <w:rsid w:val="0066334A"/>
    <w:rsid w:val="006635DC"/>
    <w:rsid w:val="00663638"/>
    <w:rsid w:val="0066369A"/>
    <w:rsid w:val="0066388D"/>
    <w:rsid w:val="00663908"/>
    <w:rsid w:val="00663AE3"/>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CB1"/>
    <w:rsid w:val="00670ECD"/>
    <w:rsid w:val="00671010"/>
    <w:rsid w:val="0067106A"/>
    <w:rsid w:val="00671213"/>
    <w:rsid w:val="00671B4F"/>
    <w:rsid w:val="006721DF"/>
    <w:rsid w:val="00672488"/>
    <w:rsid w:val="00672565"/>
    <w:rsid w:val="006725CC"/>
    <w:rsid w:val="0067273D"/>
    <w:rsid w:val="00672966"/>
    <w:rsid w:val="006733B2"/>
    <w:rsid w:val="006735BC"/>
    <w:rsid w:val="00673B8D"/>
    <w:rsid w:val="00673BDE"/>
    <w:rsid w:val="00673EB7"/>
    <w:rsid w:val="00673FBF"/>
    <w:rsid w:val="006740F1"/>
    <w:rsid w:val="0067439E"/>
    <w:rsid w:val="00674460"/>
    <w:rsid w:val="006754D4"/>
    <w:rsid w:val="00675652"/>
    <w:rsid w:val="0067568E"/>
    <w:rsid w:val="006758E5"/>
    <w:rsid w:val="00675ECB"/>
    <w:rsid w:val="0067649C"/>
    <w:rsid w:val="006767B8"/>
    <w:rsid w:val="00676EEB"/>
    <w:rsid w:val="00677453"/>
    <w:rsid w:val="00677725"/>
    <w:rsid w:val="00677D0D"/>
    <w:rsid w:val="00677F10"/>
    <w:rsid w:val="0068013A"/>
    <w:rsid w:val="00680764"/>
    <w:rsid w:val="00680A97"/>
    <w:rsid w:val="00680F30"/>
    <w:rsid w:val="00680F72"/>
    <w:rsid w:val="00680F81"/>
    <w:rsid w:val="0068102D"/>
    <w:rsid w:val="00681254"/>
    <w:rsid w:val="00681307"/>
    <w:rsid w:val="00681AF5"/>
    <w:rsid w:val="00681D50"/>
    <w:rsid w:val="006820C0"/>
    <w:rsid w:val="0068226B"/>
    <w:rsid w:val="00682389"/>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72"/>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AAE"/>
    <w:rsid w:val="006A5C57"/>
    <w:rsid w:val="006A5CA3"/>
    <w:rsid w:val="006A5D5C"/>
    <w:rsid w:val="006A5E26"/>
    <w:rsid w:val="006A6B3F"/>
    <w:rsid w:val="006A6B69"/>
    <w:rsid w:val="006A74C0"/>
    <w:rsid w:val="006A7574"/>
    <w:rsid w:val="006A78D9"/>
    <w:rsid w:val="006A7AC4"/>
    <w:rsid w:val="006A7BDA"/>
    <w:rsid w:val="006A7FC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4FF"/>
    <w:rsid w:val="006D667A"/>
    <w:rsid w:val="006D72E1"/>
    <w:rsid w:val="006D74C9"/>
    <w:rsid w:val="006D7598"/>
    <w:rsid w:val="006D7B93"/>
    <w:rsid w:val="006D7BBD"/>
    <w:rsid w:val="006D7C30"/>
    <w:rsid w:val="006D7D69"/>
    <w:rsid w:val="006D7DAD"/>
    <w:rsid w:val="006D7EC6"/>
    <w:rsid w:val="006D7F73"/>
    <w:rsid w:val="006E0262"/>
    <w:rsid w:val="006E0566"/>
    <w:rsid w:val="006E076B"/>
    <w:rsid w:val="006E0B16"/>
    <w:rsid w:val="006E1135"/>
    <w:rsid w:val="006E1437"/>
    <w:rsid w:val="006E1469"/>
    <w:rsid w:val="006E176F"/>
    <w:rsid w:val="006E1A01"/>
    <w:rsid w:val="006E1A68"/>
    <w:rsid w:val="006E1C34"/>
    <w:rsid w:val="006E1E45"/>
    <w:rsid w:val="006E22CC"/>
    <w:rsid w:val="006E3CA4"/>
    <w:rsid w:val="006E3CF3"/>
    <w:rsid w:val="006E3D3A"/>
    <w:rsid w:val="006E4231"/>
    <w:rsid w:val="006E4646"/>
    <w:rsid w:val="006E512D"/>
    <w:rsid w:val="006E5477"/>
    <w:rsid w:val="006E554E"/>
    <w:rsid w:val="006E5AFE"/>
    <w:rsid w:val="006E654D"/>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818"/>
    <w:rsid w:val="006F5B41"/>
    <w:rsid w:val="006F5B7A"/>
    <w:rsid w:val="006F6689"/>
    <w:rsid w:val="006F6740"/>
    <w:rsid w:val="006F6E1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04B"/>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AF9"/>
    <w:rsid w:val="00713F75"/>
    <w:rsid w:val="00714065"/>
    <w:rsid w:val="00714186"/>
    <w:rsid w:val="00714312"/>
    <w:rsid w:val="00714744"/>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178E"/>
    <w:rsid w:val="007320C5"/>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75A"/>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7F"/>
    <w:rsid w:val="00766ED2"/>
    <w:rsid w:val="0076731C"/>
    <w:rsid w:val="007673EE"/>
    <w:rsid w:val="0076747C"/>
    <w:rsid w:val="007674C6"/>
    <w:rsid w:val="00767703"/>
    <w:rsid w:val="007678B6"/>
    <w:rsid w:val="007700C8"/>
    <w:rsid w:val="00770272"/>
    <w:rsid w:val="007708D5"/>
    <w:rsid w:val="00770AF0"/>
    <w:rsid w:val="00770CEE"/>
    <w:rsid w:val="00770DD2"/>
    <w:rsid w:val="00770F70"/>
    <w:rsid w:val="00771247"/>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878"/>
    <w:rsid w:val="00784112"/>
    <w:rsid w:val="007842C5"/>
    <w:rsid w:val="007842FE"/>
    <w:rsid w:val="0078440C"/>
    <w:rsid w:val="00784702"/>
    <w:rsid w:val="00784A47"/>
    <w:rsid w:val="00784C31"/>
    <w:rsid w:val="00784EA1"/>
    <w:rsid w:val="00784ECF"/>
    <w:rsid w:val="00784FC7"/>
    <w:rsid w:val="007852E6"/>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34C"/>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913"/>
    <w:rsid w:val="007A6A76"/>
    <w:rsid w:val="007A6D83"/>
    <w:rsid w:val="007A7228"/>
    <w:rsid w:val="007A7257"/>
    <w:rsid w:val="007A75A3"/>
    <w:rsid w:val="007A7AD5"/>
    <w:rsid w:val="007A7DB8"/>
    <w:rsid w:val="007A7E07"/>
    <w:rsid w:val="007B0176"/>
    <w:rsid w:val="007B0253"/>
    <w:rsid w:val="007B04BA"/>
    <w:rsid w:val="007B073B"/>
    <w:rsid w:val="007B1061"/>
    <w:rsid w:val="007B1E18"/>
    <w:rsid w:val="007B1F9A"/>
    <w:rsid w:val="007B2029"/>
    <w:rsid w:val="007B2074"/>
    <w:rsid w:val="007B2638"/>
    <w:rsid w:val="007B2BB1"/>
    <w:rsid w:val="007B2FFB"/>
    <w:rsid w:val="007B3352"/>
    <w:rsid w:val="007B3476"/>
    <w:rsid w:val="007B4134"/>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563"/>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466E"/>
    <w:rsid w:val="007F500F"/>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AE0"/>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00"/>
    <w:rsid w:val="00825C65"/>
    <w:rsid w:val="00825CFC"/>
    <w:rsid w:val="00825EEF"/>
    <w:rsid w:val="0082618F"/>
    <w:rsid w:val="00826204"/>
    <w:rsid w:val="008263E0"/>
    <w:rsid w:val="008267C1"/>
    <w:rsid w:val="00826D90"/>
    <w:rsid w:val="00826F71"/>
    <w:rsid w:val="00827015"/>
    <w:rsid w:val="00827109"/>
    <w:rsid w:val="008272E9"/>
    <w:rsid w:val="00827A41"/>
    <w:rsid w:val="00827AF3"/>
    <w:rsid w:val="00830BFD"/>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AE8"/>
    <w:rsid w:val="00850B13"/>
    <w:rsid w:val="00850CEB"/>
    <w:rsid w:val="00851B22"/>
    <w:rsid w:val="008522C5"/>
    <w:rsid w:val="00852338"/>
    <w:rsid w:val="00852AA6"/>
    <w:rsid w:val="00852C51"/>
    <w:rsid w:val="00853222"/>
    <w:rsid w:val="00853794"/>
    <w:rsid w:val="00853C45"/>
    <w:rsid w:val="00853DEE"/>
    <w:rsid w:val="00854090"/>
    <w:rsid w:val="008540C8"/>
    <w:rsid w:val="00854983"/>
    <w:rsid w:val="00854A91"/>
    <w:rsid w:val="00854AD5"/>
    <w:rsid w:val="00854E0E"/>
    <w:rsid w:val="008553CA"/>
    <w:rsid w:val="00856301"/>
    <w:rsid w:val="008569DF"/>
    <w:rsid w:val="00856CF3"/>
    <w:rsid w:val="00856D2B"/>
    <w:rsid w:val="00856E07"/>
    <w:rsid w:val="00856E4A"/>
    <w:rsid w:val="00857115"/>
    <w:rsid w:val="0085722A"/>
    <w:rsid w:val="00857237"/>
    <w:rsid w:val="00857686"/>
    <w:rsid w:val="00857C34"/>
    <w:rsid w:val="008600FD"/>
    <w:rsid w:val="0086037F"/>
    <w:rsid w:val="008604E6"/>
    <w:rsid w:val="0086067F"/>
    <w:rsid w:val="00860840"/>
    <w:rsid w:val="00860BAC"/>
    <w:rsid w:val="00860F3F"/>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70018"/>
    <w:rsid w:val="00870793"/>
    <w:rsid w:val="00870869"/>
    <w:rsid w:val="00870A1C"/>
    <w:rsid w:val="00871029"/>
    <w:rsid w:val="00871096"/>
    <w:rsid w:val="00871171"/>
    <w:rsid w:val="008711F8"/>
    <w:rsid w:val="00871372"/>
    <w:rsid w:val="0087182D"/>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8AE"/>
    <w:rsid w:val="00887918"/>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37A"/>
    <w:rsid w:val="008A457F"/>
    <w:rsid w:val="008A4DAC"/>
    <w:rsid w:val="008A4E04"/>
    <w:rsid w:val="008A519E"/>
    <w:rsid w:val="008A5363"/>
    <w:rsid w:val="008A53C3"/>
    <w:rsid w:val="008A59E9"/>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90"/>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D66"/>
    <w:rsid w:val="008E1E04"/>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866"/>
    <w:rsid w:val="00905A06"/>
    <w:rsid w:val="00905F49"/>
    <w:rsid w:val="00906100"/>
    <w:rsid w:val="009064F9"/>
    <w:rsid w:val="009067B8"/>
    <w:rsid w:val="00906EED"/>
    <w:rsid w:val="00907071"/>
    <w:rsid w:val="0090715C"/>
    <w:rsid w:val="009076AC"/>
    <w:rsid w:val="00907BEE"/>
    <w:rsid w:val="00910874"/>
    <w:rsid w:val="009108A7"/>
    <w:rsid w:val="009109A6"/>
    <w:rsid w:val="00910B1E"/>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3F95"/>
    <w:rsid w:val="0091404B"/>
    <w:rsid w:val="00914127"/>
    <w:rsid w:val="00914215"/>
    <w:rsid w:val="0091423A"/>
    <w:rsid w:val="00914445"/>
    <w:rsid w:val="00914A5D"/>
    <w:rsid w:val="00915032"/>
    <w:rsid w:val="00915143"/>
    <w:rsid w:val="009151C0"/>
    <w:rsid w:val="0091537E"/>
    <w:rsid w:val="00915399"/>
    <w:rsid w:val="009154BD"/>
    <w:rsid w:val="00915650"/>
    <w:rsid w:val="00915E03"/>
    <w:rsid w:val="0091610F"/>
    <w:rsid w:val="009161BA"/>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6E8"/>
    <w:rsid w:val="0092784B"/>
    <w:rsid w:val="009279AF"/>
    <w:rsid w:val="00927EC7"/>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949"/>
    <w:rsid w:val="00933D61"/>
    <w:rsid w:val="00933DE4"/>
    <w:rsid w:val="00933F4A"/>
    <w:rsid w:val="00934044"/>
    <w:rsid w:val="009342DF"/>
    <w:rsid w:val="00934760"/>
    <w:rsid w:val="00934AEC"/>
    <w:rsid w:val="00934E22"/>
    <w:rsid w:val="00934FC8"/>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B89"/>
    <w:rsid w:val="00952C70"/>
    <w:rsid w:val="00952DF8"/>
    <w:rsid w:val="00953424"/>
    <w:rsid w:val="00953436"/>
    <w:rsid w:val="009537A7"/>
    <w:rsid w:val="009539AC"/>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5BE"/>
    <w:rsid w:val="00962724"/>
    <w:rsid w:val="00963063"/>
    <w:rsid w:val="00963811"/>
    <w:rsid w:val="0096392B"/>
    <w:rsid w:val="0096397B"/>
    <w:rsid w:val="009640FD"/>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DF1"/>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769"/>
    <w:rsid w:val="009809DD"/>
    <w:rsid w:val="00980ACA"/>
    <w:rsid w:val="00980F14"/>
    <w:rsid w:val="009813EF"/>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B33"/>
    <w:rsid w:val="00987E33"/>
    <w:rsid w:val="0099005F"/>
    <w:rsid w:val="009902EF"/>
    <w:rsid w:val="00990479"/>
    <w:rsid w:val="00990573"/>
    <w:rsid w:val="009908F7"/>
    <w:rsid w:val="00990E93"/>
    <w:rsid w:val="0099132E"/>
    <w:rsid w:val="009917F3"/>
    <w:rsid w:val="00991F39"/>
    <w:rsid w:val="00992026"/>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4FA1"/>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6B51"/>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122"/>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86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316"/>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6EE"/>
    <w:rsid w:val="00A0594D"/>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4EA3"/>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4F9"/>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E5"/>
    <w:rsid w:val="00A511FB"/>
    <w:rsid w:val="00A514EB"/>
    <w:rsid w:val="00A51C2A"/>
    <w:rsid w:val="00A521E0"/>
    <w:rsid w:val="00A52495"/>
    <w:rsid w:val="00A524B4"/>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2F"/>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A35"/>
    <w:rsid w:val="00A70B1F"/>
    <w:rsid w:val="00A712E7"/>
    <w:rsid w:val="00A7141F"/>
    <w:rsid w:val="00A71845"/>
    <w:rsid w:val="00A71D6B"/>
    <w:rsid w:val="00A71F00"/>
    <w:rsid w:val="00A71FA4"/>
    <w:rsid w:val="00A726A3"/>
    <w:rsid w:val="00A726DE"/>
    <w:rsid w:val="00A72E85"/>
    <w:rsid w:val="00A73242"/>
    <w:rsid w:val="00A736AD"/>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65"/>
    <w:rsid w:val="00A9692B"/>
    <w:rsid w:val="00A96CF6"/>
    <w:rsid w:val="00A96D7E"/>
    <w:rsid w:val="00A9727C"/>
    <w:rsid w:val="00A97584"/>
    <w:rsid w:val="00A97666"/>
    <w:rsid w:val="00A97B8C"/>
    <w:rsid w:val="00A97DBD"/>
    <w:rsid w:val="00A97EF9"/>
    <w:rsid w:val="00AA0003"/>
    <w:rsid w:val="00AA00B6"/>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4402"/>
    <w:rsid w:val="00AB486A"/>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179"/>
    <w:rsid w:val="00AC028F"/>
    <w:rsid w:val="00AC0746"/>
    <w:rsid w:val="00AC08C8"/>
    <w:rsid w:val="00AC0986"/>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A85"/>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AF6"/>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2C2"/>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BC5"/>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8EC"/>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704"/>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26E"/>
    <w:rsid w:val="00B3435B"/>
    <w:rsid w:val="00B34390"/>
    <w:rsid w:val="00B3442C"/>
    <w:rsid w:val="00B344B6"/>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BA"/>
    <w:rsid w:val="00B5444E"/>
    <w:rsid w:val="00B54989"/>
    <w:rsid w:val="00B54CC5"/>
    <w:rsid w:val="00B55223"/>
    <w:rsid w:val="00B553CF"/>
    <w:rsid w:val="00B555B8"/>
    <w:rsid w:val="00B55ACA"/>
    <w:rsid w:val="00B561BD"/>
    <w:rsid w:val="00B566E0"/>
    <w:rsid w:val="00B5685D"/>
    <w:rsid w:val="00B56B1E"/>
    <w:rsid w:val="00B56E91"/>
    <w:rsid w:val="00B56F22"/>
    <w:rsid w:val="00B574BA"/>
    <w:rsid w:val="00B57861"/>
    <w:rsid w:val="00B57DF2"/>
    <w:rsid w:val="00B600DC"/>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1A79"/>
    <w:rsid w:val="00B71AEC"/>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3F16"/>
    <w:rsid w:val="00B8422F"/>
    <w:rsid w:val="00B8489E"/>
    <w:rsid w:val="00B84BE8"/>
    <w:rsid w:val="00B854EC"/>
    <w:rsid w:val="00B855A8"/>
    <w:rsid w:val="00B85837"/>
    <w:rsid w:val="00B85F67"/>
    <w:rsid w:val="00B8629F"/>
    <w:rsid w:val="00B86557"/>
    <w:rsid w:val="00B869A8"/>
    <w:rsid w:val="00B86D87"/>
    <w:rsid w:val="00B86D88"/>
    <w:rsid w:val="00B87324"/>
    <w:rsid w:val="00B87809"/>
    <w:rsid w:val="00B87C60"/>
    <w:rsid w:val="00B87F42"/>
    <w:rsid w:val="00B90165"/>
    <w:rsid w:val="00B90615"/>
    <w:rsid w:val="00B9076E"/>
    <w:rsid w:val="00B91150"/>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4D7B"/>
    <w:rsid w:val="00B950C6"/>
    <w:rsid w:val="00B950E8"/>
    <w:rsid w:val="00B9521C"/>
    <w:rsid w:val="00B95372"/>
    <w:rsid w:val="00B953EA"/>
    <w:rsid w:val="00B954FC"/>
    <w:rsid w:val="00B95A04"/>
    <w:rsid w:val="00B95C49"/>
    <w:rsid w:val="00B95D97"/>
    <w:rsid w:val="00B95EEF"/>
    <w:rsid w:val="00B95FD7"/>
    <w:rsid w:val="00B960D2"/>
    <w:rsid w:val="00B96228"/>
    <w:rsid w:val="00B96313"/>
    <w:rsid w:val="00B96906"/>
    <w:rsid w:val="00B96CF0"/>
    <w:rsid w:val="00B96DA2"/>
    <w:rsid w:val="00B97017"/>
    <w:rsid w:val="00B97059"/>
    <w:rsid w:val="00B9714B"/>
    <w:rsid w:val="00B9718D"/>
    <w:rsid w:val="00B977E6"/>
    <w:rsid w:val="00B97982"/>
    <w:rsid w:val="00BA047F"/>
    <w:rsid w:val="00BA067F"/>
    <w:rsid w:val="00BA110A"/>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09"/>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6685"/>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5DBA"/>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5C1"/>
    <w:rsid w:val="00BE474A"/>
    <w:rsid w:val="00BE48AC"/>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A"/>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C68"/>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867"/>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F2A"/>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78B"/>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803"/>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2B97"/>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525"/>
    <w:rsid w:val="00C47AE8"/>
    <w:rsid w:val="00C47B93"/>
    <w:rsid w:val="00C47BDE"/>
    <w:rsid w:val="00C47EC4"/>
    <w:rsid w:val="00C508B7"/>
    <w:rsid w:val="00C509D3"/>
    <w:rsid w:val="00C50DD7"/>
    <w:rsid w:val="00C51696"/>
    <w:rsid w:val="00C5193F"/>
    <w:rsid w:val="00C51B31"/>
    <w:rsid w:val="00C51D11"/>
    <w:rsid w:val="00C51D30"/>
    <w:rsid w:val="00C51F21"/>
    <w:rsid w:val="00C521CD"/>
    <w:rsid w:val="00C5257E"/>
    <w:rsid w:val="00C52C8A"/>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374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F34"/>
    <w:rsid w:val="00C67F67"/>
    <w:rsid w:val="00C70366"/>
    <w:rsid w:val="00C7040D"/>
    <w:rsid w:val="00C70B8C"/>
    <w:rsid w:val="00C71148"/>
    <w:rsid w:val="00C71327"/>
    <w:rsid w:val="00C71468"/>
    <w:rsid w:val="00C723AF"/>
    <w:rsid w:val="00C723CA"/>
    <w:rsid w:val="00C72EF5"/>
    <w:rsid w:val="00C72F3E"/>
    <w:rsid w:val="00C7322E"/>
    <w:rsid w:val="00C7330C"/>
    <w:rsid w:val="00C733ED"/>
    <w:rsid w:val="00C7357D"/>
    <w:rsid w:val="00C73BC2"/>
    <w:rsid w:val="00C73BCA"/>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128"/>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3A2"/>
    <w:rsid w:val="00CA6BDF"/>
    <w:rsid w:val="00CA7239"/>
    <w:rsid w:val="00CA7E66"/>
    <w:rsid w:val="00CB0061"/>
    <w:rsid w:val="00CB010F"/>
    <w:rsid w:val="00CB01BC"/>
    <w:rsid w:val="00CB03CF"/>
    <w:rsid w:val="00CB047F"/>
    <w:rsid w:val="00CB11BD"/>
    <w:rsid w:val="00CB1368"/>
    <w:rsid w:val="00CB167F"/>
    <w:rsid w:val="00CB1988"/>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1E74"/>
    <w:rsid w:val="00CC2295"/>
    <w:rsid w:val="00CC27F5"/>
    <w:rsid w:val="00CC2A5F"/>
    <w:rsid w:val="00CC2D18"/>
    <w:rsid w:val="00CC2EFE"/>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0EE"/>
    <w:rsid w:val="00CE2282"/>
    <w:rsid w:val="00CE253D"/>
    <w:rsid w:val="00CE2858"/>
    <w:rsid w:val="00CE2E82"/>
    <w:rsid w:val="00CE3257"/>
    <w:rsid w:val="00CE38AA"/>
    <w:rsid w:val="00CE3CDC"/>
    <w:rsid w:val="00CE3D16"/>
    <w:rsid w:val="00CE3D41"/>
    <w:rsid w:val="00CE3FBA"/>
    <w:rsid w:val="00CE4564"/>
    <w:rsid w:val="00CE491F"/>
    <w:rsid w:val="00CE4FA2"/>
    <w:rsid w:val="00CE5386"/>
    <w:rsid w:val="00CE53A7"/>
    <w:rsid w:val="00CE53DF"/>
    <w:rsid w:val="00CE5E50"/>
    <w:rsid w:val="00CE630B"/>
    <w:rsid w:val="00CE6869"/>
    <w:rsid w:val="00CE69F3"/>
    <w:rsid w:val="00CE6AD5"/>
    <w:rsid w:val="00CE6E24"/>
    <w:rsid w:val="00CE72B9"/>
    <w:rsid w:val="00CE7392"/>
    <w:rsid w:val="00CE76BD"/>
    <w:rsid w:val="00CE781A"/>
    <w:rsid w:val="00CF0131"/>
    <w:rsid w:val="00CF02AC"/>
    <w:rsid w:val="00CF057C"/>
    <w:rsid w:val="00CF06E6"/>
    <w:rsid w:val="00CF1271"/>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1CD"/>
    <w:rsid w:val="00D0033A"/>
    <w:rsid w:val="00D00522"/>
    <w:rsid w:val="00D007DD"/>
    <w:rsid w:val="00D00B22"/>
    <w:rsid w:val="00D00EFB"/>
    <w:rsid w:val="00D00FCA"/>
    <w:rsid w:val="00D01752"/>
    <w:rsid w:val="00D017EE"/>
    <w:rsid w:val="00D01C73"/>
    <w:rsid w:val="00D01DC5"/>
    <w:rsid w:val="00D01F51"/>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B4"/>
    <w:rsid w:val="00D33AFC"/>
    <w:rsid w:val="00D33C0E"/>
    <w:rsid w:val="00D3410B"/>
    <w:rsid w:val="00D344C9"/>
    <w:rsid w:val="00D3461C"/>
    <w:rsid w:val="00D34965"/>
    <w:rsid w:val="00D349F3"/>
    <w:rsid w:val="00D358B2"/>
    <w:rsid w:val="00D359BB"/>
    <w:rsid w:val="00D3609F"/>
    <w:rsid w:val="00D3610A"/>
    <w:rsid w:val="00D366C8"/>
    <w:rsid w:val="00D368C6"/>
    <w:rsid w:val="00D36C45"/>
    <w:rsid w:val="00D36C8E"/>
    <w:rsid w:val="00D36D23"/>
    <w:rsid w:val="00D36D5A"/>
    <w:rsid w:val="00D37A26"/>
    <w:rsid w:val="00D37C2D"/>
    <w:rsid w:val="00D37F6A"/>
    <w:rsid w:val="00D40076"/>
    <w:rsid w:val="00D400A2"/>
    <w:rsid w:val="00D40109"/>
    <w:rsid w:val="00D40429"/>
    <w:rsid w:val="00D404CE"/>
    <w:rsid w:val="00D40D79"/>
    <w:rsid w:val="00D40E25"/>
    <w:rsid w:val="00D40E78"/>
    <w:rsid w:val="00D40F5C"/>
    <w:rsid w:val="00D41009"/>
    <w:rsid w:val="00D41154"/>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2C"/>
    <w:rsid w:val="00D50C82"/>
    <w:rsid w:val="00D50F95"/>
    <w:rsid w:val="00D5102A"/>
    <w:rsid w:val="00D512D1"/>
    <w:rsid w:val="00D513BB"/>
    <w:rsid w:val="00D513F0"/>
    <w:rsid w:val="00D5144F"/>
    <w:rsid w:val="00D51565"/>
    <w:rsid w:val="00D51611"/>
    <w:rsid w:val="00D51AAF"/>
    <w:rsid w:val="00D51F84"/>
    <w:rsid w:val="00D52200"/>
    <w:rsid w:val="00D5226A"/>
    <w:rsid w:val="00D52400"/>
    <w:rsid w:val="00D524C7"/>
    <w:rsid w:val="00D527A2"/>
    <w:rsid w:val="00D52A9A"/>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BAF"/>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1DA"/>
    <w:rsid w:val="00D8036A"/>
    <w:rsid w:val="00D8054B"/>
    <w:rsid w:val="00D80AB8"/>
    <w:rsid w:val="00D80ADF"/>
    <w:rsid w:val="00D80BE9"/>
    <w:rsid w:val="00D80C93"/>
    <w:rsid w:val="00D80CCB"/>
    <w:rsid w:val="00D81307"/>
    <w:rsid w:val="00D8137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FA"/>
    <w:rsid w:val="00D85D05"/>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899"/>
    <w:rsid w:val="00D94909"/>
    <w:rsid w:val="00D94B2F"/>
    <w:rsid w:val="00D94BB0"/>
    <w:rsid w:val="00D94FF3"/>
    <w:rsid w:val="00D95322"/>
    <w:rsid w:val="00D954FF"/>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C85"/>
    <w:rsid w:val="00DB0D5D"/>
    <w:rsid w:val="00DB0D7C"/>
    <w:rsid w:val="00DB0F47"/>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4AE7"/>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107"/>
    <w:rsid w:val="00DF02EC"/>
    <w:rsid w:val="00DF0820"/>
    <w:rsid w:val="00DF0D33"/>
    <w:rsid w:val="00DF0E63"/>
    <w:rsid w:val="00DF12DC"/>
    <w:rsid w:val="00DF1300"/>
    <w:rsid w:val="00DF1358"/>
    <w:rsid w:val="00DF1913"/>
    <w:rsid w:val="00DF1BD6"/>
    <w:rsid w:val="00DF1EB6"/>
    <w:rsid w:val="00DF1FD6"/>
    <w:rsid w:val="00DF2088"/>
    <w:rsid w:val="00DF2155"/>
    <w:rsid w:val="00DF25AA"/>
    <w:rsid w:val="00DF260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27988"/>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41E"/>
    <w:rsid w:val="00E42532"/>
    <w:rsid w:val="00E42A7B"/>
    <w:rsid w:val="00E42D71"/>
    <w:rsid w:val="00E432AE"/>
    <w:rsid w:val="00E434D2"/>
    <w:rsid w:val="00E4356E"/>
    <w:rsid w:val="00E43B7E"/>
    <w:rsid w:val="00E43F1E"/>
    <w:rsid w:val="00E44370"/>
    <w:rsid w:val="00E443E8"/>
    <w:rsid w:val="00E4466A"/>
    <w:rsid w:val="00E447D5"/>
    <w:rsid w:val="00E44817"/>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E12"/>
    <w:rsid w:val="00E60F80"/>
    <w:rsid w:val="00E6134E"/>
    <w:rsid w:val="00E613B1"/>
    <w:rsid w:val="00E613CE"/>
    <w:rsid w:val="00E61B78"/>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D69"/>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3A2"/>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C42"/>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97"/>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43E"/>
    <w:rsid w:val="00EB461B"/>
    <w:rsid w:val="00EB534C"/>
    <w:rsid w:val="00EB55D2"/>
    <w:rsid w:val="00EB56E5"/>
    <w:rsid w:val="00EB5762"/>
    <w:rsid w:val="00EB5A08"/>
    <w:rsid w:val="00EB5C31"/>
    <w:rsid w:val="00EB5D33"/>
    <w:rsid w:val="00EB5FF7"/>
    <w:rsid w:val="00EB6721"/>
    <w:rsid w:val="00EB6729"/>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43D"/>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991"/>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823"/>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3F4"/>
    <w:rsid w:val="00F07445"/>
    <w:rsid w:val="00F07A95"/>
    <w:rsid w:val="00F101FA"/>
    <w:rsid w:val="00F10437"/>
    <w:rsid w:val="00F10465"/>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17FC2"/>
    <w:rsid w:val="00F20046"/>
    <w:rsid w:val="00F20242"/>
    <w:rsid w:val="00F206FE"/>
    <w:rsid w:val="00F20989"/>
    <w:rsid w:val="00F209D0"/>
    <w:rsid w:val="00F20F5B"/>
    <w:rsid w:val="00F20F88"/>
    <w:rsid w:val="00F21048"/>
    <w:rsid w:val="00F210AB"/>
    <w:rsid w:val="00F2157F"/>
    <w:rsid w:val="00F21758"/>
    <w:rsid w:val="00F21857"/>
    <w:rsid w:val="00F218EF"/>
    <w:rsid w:val="00F21DC3"/>
    <w:rsid w:val="00F21F61"/>
    <w:rsid w:val="00F22444"/>
    <w:rsid w:val="00F22965"/>
    <w:rsid w:val="00F22C74"/>
    <w:rsid w:val="00F22C96"/>
    <w:rsid w:val="00F22CB2"/>
    <w:rsid w:val="00F22FC1"/>
    <w:rsid w:val="00F2357F"/>
    <w:rsid w:val="00F23A0F"/>
    <w:rsid w:val="00F23BD0"/>
    <w:rsid w:val="00F23D7A"/>
    <w:rsid w:val="00F23EBB"/>
    <w:rsid w:val="00F23FCA"/>
    <w:rsid w:val="00F2456B"/>
    <w:rsid w:val="00F2457D"/>
    <w:rsid w:val="00F24698"/>
    <w:rsid w:val="00F2482E"/>
    <w:rsid w:val="00F24A57"/>
    <w:rsid w:val="00F24D96"/>
    <w:rsid w:val="00F24F4D"/>
    <w:rsid w:val="00F24FA0"/>
    <w:rsid w:val="00F25157"/>
    <w:rsid w:val="00F2552F"/>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2A"/>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729"/>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317"/>
    <w:rsid w:val="00F8758E"/>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08"/>
    <w:rsid w:val="00FA3871"/>
    <w:rsid w:val="00FA3C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D0"/>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804"/>
    <w:rsid w:val="00FD282A"/>
    <w:rsid w:val="00FD2A71"/>
    <w:rsid w:val="00FD2D1A"/>
    <w:rsid w:val="00FD2D72"/>
    <w:rsid w:val="00FD3059"/>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0EE5"/>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4C2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20</cp:revision>
  <cp:lastPrinted>2014-11-07T05:38:00Z</cp:lastPrinted>
  <dcterms:created xsi:type="dcterms:W3CDTF">2021-11-05T23:06:00Z</dcterms:created>
  <dcterms:modified xsi:type="dcterms:W3CDTF">2021-11-05T23:19:00Z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